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D7" w:rsidRPr="00382C0A" w:rsidRDefault="00AB0B89">
      <w:pPr>
        <w:jc w:val="center"/>
        <w:rPr>
          <w:rFonts w:ascii="Arial" w:eastAsia="Times New Roman" w:hAnsi="Arial" w:cs="Arial"/>
          <w:b/>
          <w:bCs/>
          <w:sz w:val="26"/>
          <w:szCs w:val="26"/>
          <w:lang w:val="en-GB" w:eastAsia="sk-SK"/>
        </w:rPr>
      </w:pPr>
      <w:r w:rsidRPr="00382C0A">
        <w:rPr>
          <w:rFonts w:ascii="Arial" w:eastAsia="Times New Roman" w:hAnsi="Arial" w:cs="Arial"/>
          <w:b/>
          <w:bCs/>
          <w:sz w:val="26"/>
          <w:szCs w:val="26"/>
          <w:lang w:val="en-GB" w:eastAsia="sk-SK"/>
        </w:rPr>
        <w:t>Ex-post CBA D1 Jánovce – Jablonov</w:t>
      </w:r>
    </w:p>
    <w:p w:rsidR="002E20C6" w:rsidRPr="00382C0A" w:rsidRDefault="002E20C6">
      <w:pPr>
        <w:shd w:val="clear" w:color="auto" w:fill="FFFFFF"/>
        <w:ind w:firstLine="708"/>
        <w:jc w:val="both"/>
        <w:rPr>
          <w:rFonts w:ascii="Arial" w:eastAsia="Times New Roman" w:hAnsi="Arial" w:cs="Arial"/>
          <w:lang w:val="en-GB" w:eastAsia="sk-SK"/>
        </w:rPr>
      </w:pPr>
      <w:r w:rsidRPr="00382C0A">
        <w:rPr>
          <w:rFonts w:ascii="Arial" w:eastAsia="Times New Roman" w:hAnsi="Arial" w:cs="Arial"/>
          <w:lang w:val="en-GB" w:eastAsia="sk-SK"/>
        </w:rPr>
        <w:t xml:space="preserve">The Grant Agreement for the motorway project "D1 </w:t>
      </w:r>
      <w:r w:rsidR="003F7BB5" w:rsidRPr="00382C0A">
        <w:rPr>
          <w:rFonts w:ascii="Arial" w:eastAsia="Times New Roman" w:hAnsi="Arial" w:cs="Arial"/>
          <w:lang w:val="en-GB" w:eastAsia="sk-SK"/>
        </w:rPr>
        <w:t>Jánovce - Jablonov</w:t>
      </w:r>
      <w:r w:rsidRPr="00382C0A">
        <w:rPr>
          <w:rFonts w:ascii="Arial" w:eastAsia="Times New Roman" w:hAnsi="Arial" w:cs="Arial"/>
          <w:lang w:val="en-GB" w:eastAsia="sk-SK"/>
        </w:rPr>
        <w:t xml:space="preserve">" was concluded on </w:t>
      </w:r>
      <w:r w:rsidR="005858E1">
        <w:rPr>
          <w:rFonts w:ascii="Arial" w:eastAsia="Times New Roman" w:hAnsi="Arial" w:cs="Arial"/>
          <w:lang w:val="en-GB" w:eastAsia="sk-SK"/>
        </w:rPr>
        <w:t>21 July 2011</w:t>
      </w:r>
      <w:r w:rsidRPr="00382C0A">
        <w:rPr>
          <w:rFonts w:ascii="Arial" w:eastAsia="Times New Roman" w:hAnsi="Arial" w:cs="Arial"/>
          <w:lang w:val="en-GB" w:eastAsia="sk-SK"/>
        </w:rPr>
        <w:t>. Addendum no. 1 to the Grant Agreement was concluded on 21 November 2011.</w:t>
      </w:r>
      <w:r w:rsidR="003F7BB5" w:rsidRPr="00382C0A">
        <w:rPr>
          <w:rFonts w:ascii="Arial" w:eastAsia="Times New Roman" w:hAnsi="Arial" w:cs="Arial"/>
          <w:lang w:val="en-GB" w:eastAsia="sk-SK"/>
        </w:rPr>
        <w:t xml:space="preserve"> Addendum no. 2 to the Grant Agreement was amended by a decision of European Commission and concluded on 19 May 2014. Addendum no. 3 to the Grant Agreement included investment costs adjusted by a revised CBA and was concluded on 7 December 2015.</w:t>
      </w:r>
    </w:p>
    <w:p w:rsidR="002F36AA" w:rsidRPr="00382C0A" w:rsidRDefault="002F36AA">
      <w:pPr>
        <w:shd w:val="clear" w:color="auto" w:fill="FFFFFF"/>
        <w:ind w:firstLine="708"/>
        <w:jc w:val="both"/>
        <w:rPr>
          <w:rFonts w:ascii="Arial" w:eastAsia="Times New Roman" w:hAnsi="Arial" w:cs="Arial"/>
          <w:lang w:val="en-GB" w:eastAsia="sk-SK"/>
        </w:rPr>
      </w:pPr>
      <w:r w:rsidRPr="00382C0A">
        <w:rPr>
          <w:rFonts w:ascii="Arial" w:eastAsia="Times New Roman" w:hAnsi="Arial" w:cs="Arial"/>
          <w:lang w:val="en-GB" w:eastAsia="sk-SK"/>
        </w:rPr>
        <w:t xml:space="preserve">It was a financial contribution for the construction of 18.54 km of the motorway section D1 Jánovce – Jablonov. The Beneficiary (National Motorway Company, hereinafter as “NMC”) received a financial contribution of </w:t>
      </w:r>
      <w:r w:rsidRPr="00382C0A">
        <w:rPr>
          <w:rFonts w:ascii="Arial" w:eastAsia="Times New Roman" w:hAnsi="Arial" w:cs="Arial"/>
          <w:b/>
          <w:lang w:val="en-GB" w:eastAsia="sk-SK"/>
        </w:rPr>
        <w:t>EUR 172 198 626.98</w:t>
      </w:r>
      <w:r w:rsidRPr="00382C0A">
        <w:rPr>
          <w:rFonts w:ascii="Arial" w:eastAsia="Times New Roman" w:hAnsi="Arial" w:cs="Arial"/>
          <w:lang w:val="en-GB" w:eastAsia="sk-SK"/>
        </w:rPr>
        <w:t xml:space="preserve"> consisting of the contribution of </w:t>
      </w:r>
      <w:r w:rsidRPr="00382C0A">
        <w:rPr>
          <w:rFonts w:ascii="Arial" w:eastAsia="Times New Roman" w:hAnsi="Arial" w:cs="Arial"/>
          <w:b/>
          <w:lang w:val="en-GB" w:eastAsia="sk-SK"/>
        </w:rPr>
        <w:t>EUR 146 368 832.83</w:t>
      </w:r>
      <w:r w:rsidRPr="00382C0A">
        <w:rPr>
          <w:rFonts w:ascii="Arial" w:eastAsia="Times New Roman" w:hAnsi="Arial" w:cs="Arial"/>
          <w:lang w:val="en-GB" w:eastAsia="sk-SK"/>
        </w:rPr>
        <w:t xml:space="preserve"> from the Cohesion Fund (85% of the total amount) and the contribution </w:t>
      </w:r>
      <w:r w:rsidRPr="005858E1">
        <w:rPr>
          <w:rFonts w:ascii="Arial" w:eastAsia="Times New Roman" w:hAnsi="Arial" w:cs="Arial"/>
          <w:lang w:val="en-GB" w:eastAsia="sk-SK"/>
        </w:rPr>
        <w:t xml:space="preserve">of </w:t>
      </w:r>
      <w:r w:rsidRPr="00382C0A">
        <w:rPr>
          <w:rFonts w:ascii="Arial" w:eastAsia="Times New Roman" w:hAnsi="Arial" w:cs="Arial"/>
          <w:b/>
          <w:lang w:val="en-GB" w:eastAsia="sk-SK"/>
        </w:rPr>
        <w:t>EUR 25 829 794.05</w:t>
      </w:r>
      <w:r w:rsidR="005858E1">
        <w:rPr>
          <w:rFonts w:ascii="Arial" w:eastAsia="Times New Roman" w:hAnsi="Arial" w:cs="Arial"/>
          <w:lang w:val="en-GB" w:eastAsia="sk-SK"/>
        </w:rPr>
        <w:t xml:space="preserve"> from the state budget </w:t>
      </w:r>
      <w:r w:rsidRPr="00382C0A">
        <w:rPr>
          <w:rFonts w:ascii="Arial" w:eastAsia="Times New Roman" w:hAnsi="Arial" w:cs="Arial"/>
          <w:lang w:val="en-GB" w:eastAsia="sk-SK"/>
        </w:rPr>
        <w:t xml:space="preserve">(15% of the total amount). The contribution was determined on the basis of the financial analysis of the project's cost-benefit analysis (CBA) at the financial gap of </w:t>
      </w:r>
      <w:r w:rsidRPr="00382C0A">
        <w:rPr>
          <w:rFonts w:ascii="Arial" w:eastAsia="Times New Roman" w:hAnsi="Arial" w:cs="Arial"/>
          <w:b/>
          <w:lang w:val="en-GB" w:eastAsia="sk-SK"/>
        </w:rPr>
        <w:t>97.04 %</w:t>
      </w:r>
      <w:r w:rsidRPr="00382C0A">
        <w:rPr>
          <w:rFonts w:ascii="Arial" w:eastAsia="Times New Roman" w:hAnsi="Arial" w:cs="Arial"/>
          <w:lang w:val="en-GB" w:eastAsia="sk-SK"/>
        </w:rPr>
        <w:t xml:space="preserve"> (</w:t>
      </w:r>
      <w:r w:rsidRPr="00382C0A">
        <w:rPr>
          <w:rFonts w:ascii="Arial" w:eastAsia="Times New Roman" w:hAnsi="Arial" w:cs="Arial"/>
          <w:b/>
          <w:lang w:val="en-GB" w:eastAsia="sk-SK"/>
        </w:rPr>
        <w:t>meaning that 97.04 % of the total eligible project expenditure was provided from the Operational Program Transport 2007 - 2013</w:t>
      </w:r>
      <w:r w:rsidRPr="00382C0A">
        <w:rPr>
          <w:rFonts w:ascii="Arial" w:eastAsia="Times New Roman" w:hAnsi="Arial" w:cs="Arial"/>
          <w:lang w:val="en-GB" w:eastAsia="sk-SK"/>
        </w:rPr>
        <w:t xml:space="preserve">). The motorway D1 Jánovce - Jablonov has been in operation since November 2015. </w:t>
      </w:r>
    </w:p>
    <w:p w:rsidR="002F36AA" w:rsidRPr="00382C0A" w:rsidRDefault="002F36AA">
      <w:pPr>
        <w:shd w:val="clear" w:color="auto" w:fill="FFFFFF"/>
        <w:spacing w:after="150"/>
        <w:ind w:firstLine="708"/>
        <w:jc w:val="both"/>
        <w:rPr>
          <w:rFonts w:ascii="Arial" w:eastAsia="Times New Roman" w:hAnsi="Arial" w:cs="Arial"/>
          <w:lang w:val="en-GB" w:eastAsia="sk-SK"/>
        </w:rPr>
      </w:pPr>
      <w:r w:rsidRPr="00382C0A">
        <w:rPr>
          <w:rFonts w:ascii="Arial" w:eastAsia="Times New Roman" w:hAnsi="Arial" w:cs="Arial"/>
          <w:lang w:val="en-GB" w:eastAsia="sk-SK"/>
        </w:rPr>
        <w:t>As the Managing Authority (MA), the Ministry of Transport and Construction of the Slovak Republic proceeded to an ex-post review of CBA to improve the quality of the future CBAs for the road projects, to refine the transport modelling of the other following projects and to help updating of the CBA Methodological Guide.</w:t>
      </w:r>
    </w:p>
    <w:p w:rsidR="002F36AA" w:rsidRPr="00382C0A" w:rsidRDefault="002F36AA">
      <w:pPr>
        <w:shd w:val="clear" w:color="auto" w:fill="FFFFFF"/>
        <w:spacing w:after="150"/>
        <w:ind w:firstLine="708"/>
        <w:jc w:val="both"/>
        <w:rPr>
          <w:rFonts w:ascii="Arial" w:eastAsia="Times New Roman" w:hAnsi="Arial" w:cs="Arial"/>
          <w:lang w:val="en-GB" w:eastAsia="sk-SK"/>
        </w:rPr>
      </w:pPr>
      <w:r w:rsidRPr="00382C0A">
        <w:rPr>
          <w:rFonts w:ascii="Arial" w:eastAsia="Times New Roman" w:hAnsi="Arial" w:cs="Arial"/>
          <w:lang w:val="en-GB" w:eastAsia="sk-SK"/>
        </w:rPr>
        <w:t xml:space="preserve">The following input data actual for period 2011-2018 were considered for the ex-post CBA: </w:t>
      </w:r>
    </w:p>
    <w:p w:rsidR="009C2DB4" w:rsidRPr="00382C0A" w:rsidRDefault="002F36AA" w:rsidP="009C2DB4">
      <w:pPr>
        <w:pStyle w:val="Default"/>
        <w:rPr>
          <w:color w:val="auto"/>
          <w:sz w:val="22"/>
          <w:szCs w:val="22"/>
          <w:lang w:val="en-GB"/>
        </w:rPr>
      </w:pPr>
      <w:r w:rsidRPr="00382C0A">
        <w:rPr>
          <w:color w:val="auto"/>
          <w:lang w:val="en-GB"/>
        </w:rPr>
        <w:t xml:space="preserve"> </w:t>
      </w:r>
      <w:r w:rsidR="009C2DB4" w:rsidRPr="00382C0A">
        <w:rPr>
          <w:color w:val="auto"/>
          <w:lang w:val="en-GB"/>
        </w:rPr>
        <w:tab/>
      </w:r>
      <w:r w:rsidR="009C2DB4" w:rsidRPr="00382C0A">
        <w:rPr>
          <w:i/>
          <w:iCs/>
          <w:color w:val="auto"/>
          <w:sz w:val="22"/>
          <w:szCs w:val="22"/>
          <w:lang w:val="en-GB"/>
        </w:rPr>
        <w:t xml:space="preserve">GDP – source: Statistical Office of the SR, Ministry of Finance of the SR, Slovak CBA Guide OPII </w:t>
      </w:r>
    </w:p>
    <w:p w:rsidR="009C2DB4" w:rsidRPr="00382C0A" w:rsidRDefault="009C2DB4" w:rsidP="009C2DB4">
      <w:pPr>
        <w:pStyle w:val="Default"/>
        <w:ind w:firstLine="708"/>
        <w:rPr>
          <w:color w:val="auto"/>
          <w:sz w:val="22"/>
          <w:szCs w:val="22"/>
          <w:lang w:val="en-GB"/>
        </w:rPr>
      </w:pPr>
      <w:r w:rsidRPr="00382C0A">
        <w:rPr>
          <w:i/>
          <w:iCs/>
          <w:color w:val="auto"/>
          <w:sz w:val="22"/>
          <w:szCs w:val="22"/>
          <w:lang w:val="en-GB"/>
        </w:rPr>
        <w:t xml:space="preserve">Inflation – source: Statistical Office of the SR; </w:t>
      </w:r>
    </w:p>
    <w:p w:rsidR="009C2DB4" w:rsidRPr="00382C0A" w:rsidRDefault="009C2DB4" w:rsidP="009C2DB4">
      <w:pPr>
        <w:pStyle w:val="Default"/>
        <w:ind w:firstLine="708"/>
        <w:rPr>
          <w:color w:val="auto"/>
          <w:sz w:val="22"/>
          <w:szCs w:val="22"/>
          <w:lang w:val="en-GB"/>
        </w:rPr>
      </w:pPr>
      <w:r w:rsidRPr="00382C0A">
        <w:rPr>
          <w:i/>
          <w:iCs/>
          <w:color w:val="auto"/>
          <w:sz w:val="22"/>
          <w:szCs w:val="22"/>
          <w:lang w:val="en-GB"/>
        </w:rPr>
        <w:t xml:space="preserve">Fuel prices– source: Statistical Office of the SR; </w:t>
      </w:r>
    </w:p>
    <w:p w:rsidR="009C2DB4" w:rsidRPr="00382C0A" w:rsidRDefault="009C2DB4" w:rsidP="009C2DB4">
      <w:pPr>
        <w:pStyle w:val="Default"/>
        <w:ind w:firstLine="708"/>
        <w:rPr>
          <w:color w:val="auto"/>
          <w:sz w:val="22"/>
          <w:szCs w:val="22"/>
          <w:lang w:val="en-GB"/>
        </w:rPr>
      </w:pPr>
      <w:r w:rsidRPr="00382C0A">
        <w:rPr>
          <w:i/>
          <w:iCs/>
          <w:color w:val="auto"/>
          <w:sz w:val="22"/>
          <w:szCs w:val="22"/>
          <w:lang w:val="en-GB"/>
        </w:rPr>
        <w:t xml:space="preserve">Investment costs – source: National Motorway Company accounting; </w:t>
      </w:r>
    </w:p>
    <w:p w:rsidR="009C2DB4" w:rsidRPr="00382C0A" w:rsidRDefault="009C2DB4" w:rsidP="009C2DB4">
      <w:pPr>
        <w:pStyle w:val="Default"/>
        <w:ind w:firstLine="708"/>
        <w:rPr>
          <w:color w:val="auto"/>
          <w:sz w:val="22"/>
          <w:szCs w:val="22"/>
          <w:lang w:val="en-GB"/>
        </w:rPr>
      </w:pPr>
      <w:r w:rsidRPr="00382C0A">
        <w:rPr>
          <w:i/>
          <w:iCs/>
          <w:color w:val="auto"/>
          <w:sz w:val="22"/>
          <w:szCs w:val="22"/>
          <w:lang w:val="en-GB"/>
        </w:rPr>
        <w:t xml:space="preserve">Traffic intensity – source: nation traffic census 2015, automated traffic counters of NMC; </w:t>
      </w:r>
    </w:p>
    <w:p w:rsidR="009C2DB4" w:rsidRPr="00382C0A" w:rsidRDefault="009C2DB4" w:rsidP="009C2DB4">
      <w:pPr>
        <w:pStyle w:val="Default"/>
        <w:ind w:firstLine="708"/>
        <w:rPr>
          <w:color w:val="auto"/>
          <w:sz w:val="22"/>
          <w:szCs w:val="22"/>
          <w:lang w:val="en-GB"/>
        </w:rPr>
      </w:pPr>
      <w:r w:rsidRPr="00382C0A">
        <w:rPr>
          <w:i/>
          <w:iCs/>
          <w:color w:val="auto"/>
          <w:sz w:val="22"/>
          <w:szCs w:val="22"/>
          <w:lang w:val="en-GB"/>
        </w:rPr>
        <w:t xml:space="preserve">Operation and Maintenance costs – source: National Motorway Company accounting; </w:t>
      </w:r>
    </w:p>
    <w:p w:rsidR="009C2DB4" w:rsidRPr="00382C0A" w:rsidRDefault="009C2DB4" w:rsidP="009C2DB4">
      <w:pPr>
        <w:pStyle w:val="Default"/>
        <w:ind w:firstLine="708"/>
        <w:rPr>
          <w:color w:val="auto"/>
          <w:sz w:val="22"/>
          <w:szCs w:val="22"/>
          <w:lang w:val="en-GB"/>
        </w:rPr>
      </w:pPr>
      <w:r w:rsidRPr="00382C0A">
        <w:rPr>
          <w:i/>
          <w:iCs/>
          <w:color w:val="auto"/>
          <w:sz w:val="22"/>
          <w:szCs w:val="22"/>
          <w:lang w:val="en-GB"/>
        </w:rPr>
        <w:t xml:space="preserve">Revenues – source: National Motorway Company accounting; </w:t>
      </w:r>
    </w:p>
    <w:p w:rsidR="009C2DB4" w:rsidRPr="00382C0A" w:rsidRDefault="009C2DB4" w:rsidP="00664FBE">
      <w:pPr>
        <w:shd w:val="clear" w:color="auto" w:fill="FFFFFF"/>
        <w:tabs>
          <w:tab w:val="right" w:pos="9072"/>
        </w:tabs>
        <w:spacing w:line="240" w:lineRule="auto"/>
        <w:ind w:firstLine="708"/>
        <w:jc w:val="both"/>
        <w:rPr>
          <w:i/>
          <w:iCs/>
          <w:lang w:val="en-GB"/>
        </w:rPr>
      </w:pPr>
      <w:r w:rsidRPr="00382C0A">
        <w:rPr>
          <w:i/>
          <w:iCs/>
          <w:lang w:val="en-GB"/>
        </w:rPr>
        <w:t xml:space="preserve">Accidents – source: Police of the SR </w:t>
      </w:r>
      <w:r w:rsidR="00664FBE" w:rsidRPr="00382C0A">
        <w:rPr>
          <w:i/>
          <w:iCs/>
          <w:lang w:val="en-GB"/>
        </w:rPr>
        <w:tab/>
      </w:r>
    </w:p>
    <w:p w:rsidR="002D5F8A" w:rsidRPr="00382C0A" w:rsidRDefault="002D5F8A" w:rsidP="00107CF6">
      <w:pPr>
        <w:shd w:val="clear" w:color="auto" w:fill="FFFFFF"/>
        <w:spacing w:after="0"/>
        <w:ind w:firstLine="708"/>
        <w:jc w:val="both"/>
        <w:rPr>
          <w:rFonts w:ascii="Arial" w:eastAsia="Times New Roman" w:hAnsi="Arial" w:cs="Arial"/>
          <w:lang w:val="en-GB" w:eastAsia="sk-SK"/>
        </w:rPr>
      </w:pPr>
      <w:r w:rsidRPr="00382C0A">
        <w:rPr>
          <w:rFonts w:ascii="Arial" w:eastAsia="Times New Roman" w:hAnsi="Arial" w:cs="Arial"/>
          <w:lang w:val="en-GB" w:eastAsia="sk-SK"/>
        </w:rPr>
        <w:t xml:space="preserve">Subsequently, the CBA of the entire project was recalculated </w:t>
      </w:r>
      <w:r w:rsidR="00664FBE" w:rsidRPr="00382C0A">
        <w:rPr>
          <w:rFonts w:ascii="Arial" w:eastAsia="Times New Roman" w:hAnsi="Arial" w:cs="Arial"/>
          <w:lang w:val="en-GB" w:eastAsia="sk-SK"/>
        </w:rPr>
        <w:t xml:space="preserve">using the currently valid methodology for the Operational Programme Transport (2007 - 2013) </w:t>
      </w:r>
      <w:r w:rsidRPr="00382C0A">
        <w:rPr>
          <w:rFonts w:ascii="Arial" w:eastAsia="Times New Roman" w:hAnsi="Arial" w:cs="Arial"/>
          <w:lang w:val="en-GB" w:eastAsia="sk-SK"/>
        </w:rPr>
        <w:t>including predictions until 2040</w:t>
      </w:r>
      <w:r w:rsidR="00664FBE" w:rsidRPr="00382C0A">
        <w:rPr>
          <w:rFonts w:ascii="Arial" w:eastAsia="Times New Roman" w:hAnsi="Arial" w:cs="Arial"/>
          <w:lang w:val="en-GB" w:eastAsia="sk-SK"/>
        </w:rPr>
        <w:t>.</w:t>
      </w:r>
      <w:r w:rsidRPr="00382C0A">
        <w:rPr>
          <w:rFonts w:ascii="Arial" w:eastAsia="Times New Roman" w:hAnsi="Arial" w:cs="Arial"/>
          <w:lang w:val="en-GB" w:eastAsia="sk-SK"/>
        </w:rPr>
        <w:t xml:space="preserve"> The latest updated CBA submitted to the </w:t>
      </w:r>
      <w:r w:rsidR="00664FBE" w:rsidRPr="00382C0A">
        <w:rPr>
          <w:rFonts w:ascii="Arial" w:eastAsia="Times New Roman" w:hAnsi="Arial" w:cs="Arial"/>
          <w:lang w:val="en-GB" w:eastAsia="sk-SK"/>
        </w:rPr>
        <w:t>Managing Authority in the course of implementation of the project was used as the basis</w:t>
      </w:r>
      <w:r w:rsidRPr="00382C0A">
        <w:rPr>
          <w:rFonts w:ascii="Arial" w:eastAsia="Times New Roman" w:hAnsi="Arial" w:cs="Arial"/>
          <w:lang w:val="en-GB" w:eastAsia="sk-SK"/>
        </w:rPr>
        <w:t xml:space="preserve"> for this ex-post </w:t>
      </w:r>
      <w:r w:rsidR="00664FBE" w:rsidRPr="00382C0A">
        <w:rPr>
          <w:rFonts w:ascii="Arial" w:eastAsia="Times New Roman" w:hAnsi="Arial" w:cs="Arial"/>
          <w:lang w:val="en-GB" w:eastAsia="sk-SK"/>
        </w:rPr>
        <w:t>analysis.</w:t>
      </w:r>
    </w:p>
    <w:p w:rsidR="00664FBE" w:rsidRPr="00382C0A" w:rsidRDefault="00664FBE" w:rsidP="00664FBE">
      <w:pPr>
        <w:shd w:val="clear" w:color="auto" w:fill="FFFFFF"/>
        <w:spacing w:after="0"/>
        <w:jc w:val="center"/>
        <w:rPr>
          <w:rFonts w:ascii="Arial" w:eastAsia="Times New Roman" w:hAnsi="Arial" w:cs="Arial"/>
          <w:b/>
          <w:bCs/>
          <w:sz w:val="24"/>
          <w:szCs w:val="24"/>
          <w:lang w:val="en-GB" w:eastAsia="sk-SK"/>
        </w:rPr>
      </w:pPr>
    </w:p>
    <w:p w:rsidR="00664FBE" w:rsidRPr="00382C0A" w:rsidRDefault="00664FBE" w:rsidP="00664FBE">
      <w:pPr>
        <w:shd w:val="clear" w:color="auto" w:fill="FFFFFF"/>
        <w:spacing w:before="240" w:after="0"/>
        <w:ind w:firstLine="708"/>
        <w:jc w:val="center"/>
        <w:rPr>
          <w:rFonts w:ascii="Arial" w:eastAsia="Times New Roman" w:hAnsi="Arial" w:cs="Arial"/>
          <w:b/>
          <w:bCs/>
          <w:sz w:val="24"/>
          <w:szCs w:val="24"/>
          <w:lang w:val="en-GB" w:eastAsia="sk-SK"/>
        </w:rPr>
      </w:pPr>
      <w:r w:rsidRPr="00382C0A">
        <w:rPr>
          <w:rFonts w:ascii="Arial" w:eastAsia="Times New Roman" w:hAnsi="Arial" w:cs="Arial"/>
          <w:b/>
          <w:bCs/>
          <w:sz w:val="24"/>
          <w:szCs w:val="24"/>
          <w:lang w:val="en-GB" w:eastAsia="sk-SK"/>
        </w:rPr>
        <w:t>Evaluation of financial analysis</w:t>
      </w:r>
    </w:p>
    <w:p w:rsidR="00107CF6" w:rsidRPr="00382C0A" w:rsidRDefault="00107CF6" w:rsidP="00664FBE">
      <w:pPr>
        <w:shd w:val="clear" w:color="auto" w:fill="FFFFFF"/>
        <w:spacing w:before="240" w:after="150"/>
        <w:ind w:firstLine="708"/>
        <w:jc w:val="both"/>
        <w:rPr>
          <w:rFonts w:ascii="Arial" w:eastAsia="Times New Roman" w:hAnsi="Arial" w:cs="Arial"/>
          <w:lang w:val="en-GB" w:eastAsia="sk-SK"/>
        </w:rPr>
      </w:pPr>
      <w:r w:rsidRPr="00382C0A">
        <w:rPr>
          <w:rFonts w:ascii="Arial" w:eastAsia="Times New Roman" w:hAnsi="Arial" w:cs="Arial"/>
          <w:lang w:val="en-GB" w:eastAsia="sk-SK"/>
        </w:rPr>
        <w:t xml:space="preserve">The financial gap has increased from </w:t>
      </w:r>
      <w:r w:rsidRPr="00382C0A">
        <w:rPr>
          <w:rFonts w:ascii="Arial" w:eastAsia="Times New Roman" w:hAnsi="Arial" w:cs="Arial"/>
          <w:b/>
          <w:lang w:val="en-GB" w:eastAsia="sk-SK"/>
        </w:rPr>
        <w:t>97.07%</w:t>
      </w:r>
      <w:r w:rsidRPr="00382C0A">
        <w:rPr>
          <w:rFonts w:ascii="Arial" w:eastAsia="Times New Roman" w:hAnsi="Arial" w:cs="Arial"/>
          <w:lang w:val="en-GB" w:eastAsia="sk-SK"/>
        </w:rPr>
        <w:t xml:space="preserve"> to </w:t>
      </w:r>
      <w:r w:rsidRPr="00382C0A">
        <w:rPr>
          <w:rFonts w:ascii="Arial" w:eastAsia="Times New Roman" w:hAnsi="Arial" w:cs="Arial"/>
          <w:b/>
          <w:lang w:val="en-GB" w:eastAsia="sk-SK"/>
        </w:rPr>
        <w:t>10</w:t>
      </w:r>
      <w:r w:rsidR="00D14FB0" w:rsidRPr="00382C0A">
        <w:rPr>
          <w:rFonts w:ascii="Arial" w:eastAsia="Times New Roman" w:hAnsi="Arial" w:cs="Arial"/>
          <w:b/>
          <w:lang w:val="en-GB" w:eastAsia="sk-SK"/>
        </w:rPr>
        <w:t>0</w:t>
      </w:r>
      <w:r w:rsidRPr="00382C0A">
        <w:rPr>
          <w:rFonts w:ascii="Arial" w:eastAsia="Times New Roman" w:hAnsi="Arial" w:cs="Arial"/>
          <w:b/>
          <w:lang w:val="en-GB" w:eastAsia="sk-SK"/>
        </w:rPr>
        <w:t>%</w:t>
      </w:r>
      <w:r w:rsidRPr="00382C0A">
        <w:rPr>
          <w:rFonts w:ascii="Arial" w:eastAsia="Times New Roman" w:hAnsi="Arial" w:cs="Arial"/>
          <w:lang w:val="en-GB" w:eastAsia="sk-SK"/>
        </w:rPr>
        <w:t xml:space="preserve"> which means that the contribution from the operational programme resources for the eligible expenses should currently be higher than those in the Grant Agreement. The increase of the percentage of the financial gap is mainly due to decline of the real income from the toll </w:t>
      </w:r>
      <w:r w:rsidR="00382C0A">
        <w:rPr>
          <w:rFonts w:ascii="Arial" w:eastAsia="Times New Roman" w:hAnsi="Arial" w:cs="Arial"/>
          <w:lang w:val="en-GB" w:eastAsia="sk-SK"/>
        </w:rPr>
        <w:t>system</w:t>
      </w:r>
      <w:r w:rsidRPr="00382C0A">
        <w:rPr>
          <w:rFonts w:ascii="Arial" w:eastAsia="Times New Roman" w:hAnsi="Arial" w:cs="Arial"/>
          <w:lang w:val="en-GB" w:eastAsia="sk-SK"/>
        </w:rPr>
        <w:t>, i.e. the project is unable to cover the expenses needed for operation and maintenance of the infrastructure within the reference period of 30 years.</w:t>
      </w:r>
    </w:p>
    <w:p w:rsidR="005B7DD7" w:rsidRPr="00382C0A" w:rsidRDefault="00107CF6" w:rsidP="00BD3632">
      <w:pPr>
        <w:shd w:val="clear" w:color="auto" w:fill="FFFFFF"/>
        <w:spacing w:after="150"/>
        <w:ind w:firstLine="708"/>
        <w:jc w:val="both"/>
        <w:rPr>
          <w:rFonts w:ascii="Arial" w:eastAsia="Times New Roman" w:hAnsi="Arial" w:cs="Arial"/>
          <w:lang w:val="en-GB" w:eastAsia="sk-SK"/>
        </w:rPr>
      </w:pPr>
      <w:r w:rsidRPr="00382C0A">
        <w:rPr>
          <w:rFonts w:ascii="Arial" w:eastAsia="Times New Roman" w:hAnsi="Arial" w:cs="Arial"/>
          <w:lang w:val="en-GB" w:eastAsia="sk-SK"/>
        </w:rPr>
        <w:lastRenderedPageBreak/>
        <w:t xml:space="preserve">The financial indicators below are cumulative for the reference period of 30 years and the sums are excluding any discounts (financial discount </w:t>
      </w:r>
      <w:r w:rsidR="00D14FB0" w:rsidRPr="00382C0A">
        <w:rPr>
          <w:rFonts w:ascii="Arial" w:eastAsia="Times New Roman" w:hAnsi="Arial" w:cs="Arial"/>
          <w:lang w:val="en-GB" w:eastAsia="sk-SK"/>
        </w:rPr>
        <w:t>tariff</w:t>
      </w:r>
      <w:r w:rsidRPr="00382C0A">
        <w:rPr>
          <w:rFonts w:ascii="Arial" w:eastAsia="Times New Roman" w:hAnsi="Arial" w:cs="Arial"/>
          <w:lang w:val="en-GB" w:eastAsia="sk-SK"/>
        </w:rPr>
        <w:t>-rate</w:t>
      </w:r>
      <w:r w:rsidR="00AB0B89" w:rsidRPr="00382C0A">
        <w:rPr>
          <w:rFonts w:ascii="Arial" w:eastAsia="Times New Roman" w:hAnsi="Arial" w:cs="Arial"/>
          <w:lang w:val="en-GB" w:eastAsia="sk-SK"/>
        </w:rPr>
        <w:t>).</w:t>
      </w:r>
    </w:p>
    <w:tbl>
      <w:tblPr>
        <w:tblW w:w="9092" w:type="dxa"/>
        <w:tblCellMar>
          <w:left w:w="10" w:type="dxa"/>
          <w:right w:w="10" w:type="dxa"/>
        </w:tblCellMar>
        <w:tblLook w:val="04A0" w:firstRow="1" w:lastRow="0" w:firstColumn="1" w:lastColumn="0" w:noHBand="0" w:noVBand="1"/>
      </w:tblPr>
      <w:tblGrid>
        <w:gridCol w:w="2142"/>
        <w:gridCol w:w="2828"/>
        <w:gridCol w:w="2835"/>
        <w:gridCol w:w="1287"/>
      </w:tblGrid>
      <w:tr w:rsidR="00382C0A" w:rsidRPr="00382C0A">
        <w:trPr>
          <w:trHeight w:val="562"/>
        </w:trPr>
        <w:tc>
          <w:tcPr>
            <w:tcW w:w="21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lang w:val="en-GB"/>
              </w:rPr>
            </w:pPr>
            <w:bookmarkStart w:id="0" w:name="_Hlk14695119"/>
            <w:r w:rsidRPr="00382C0A">
              <w:rPr>
                <w:rFonts w:ascii="Arial" w:eastAsia="Times New Roman" w:hAnsi="Arial" w:cs="Arial"/>
                <w:b/>
                <w:lang w:val="en-GB" w:eastAsia="sk-SK"/>
              </w:rPr>
              <w:t>Investment cost</w:t>
            </w:r>
          </w:p>
        </w:tc>
        <w:tc>
          <w:tcPr>
            <w:tcW w:w="28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original</w:t>
            </w:r>
          </w:p>
          <w:p w:rsidR="005B7DD7" w:rsidRPr="00382C0A" w:rsidRDefault="00AB0B89">
            <w:pPr>
              <w:spacing w:after="0"/>
              <w:jc w:val="center"/>
              <w:rPr>
                <w:lang w:val="en-GB"/>
              </w:rPr>
            </w:pPr>
            <w:r w:rsidRPr="00382C0A">
              <w:rPr>
                <w:rFonts w:ascii="Arial" w:eastAsia="Times New Roman" w:hAnsi="Arial" w:cs="Arial"/>
                <w:b/>
                <w:bCs/>
                <w:lang w:val="en-GB" w:eastAsia="sk-SK"/>
              </w:rPr>
              <w:t>266 030 102 EUR</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updated</w:t>
            </w:r>
          </w:p>
          <w:p w:rsidR="005B7DD7" w:rsidRPr="00382C0A" w:rsidRDefault="00AB0B89" w:rsidP="00D14FB0">
            <w:pPr>
              <w:spacing w:after="0"/>
              <w:jc w:val="center"/>
              <w:rPr>
                <w:lang w:val="en-GB"/>
              </w:rPr>
            </w:pPr>
            <w:r w:rsidRPr="00382C0A">
              <w:rPr>
                <w:rFonts w:ascii="Arial" w:eastAsia="Times New Roman" w:hAnsi="Arial" w:cs="Arial"/>
                <w:b/>
                <w:lang w:val="en-GB" w:eastAsia="sk-SK"/>
              </w:rPr>
              <w:t>287 515 642 EUR</w:t>
            </w:r>
          </w:p>
        </w:tc>
        <w:tc>
          <w:tcPr>
            <w:tcW w:w="128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lang w:val="en-GB"/>
              </w:rPr>
            </w:pPr>
            <w:r w:rsidRPr="00382C0A">
              <w:rPr>
                <w:rFonts w:ascii="Arial" w:eastAsia="Times New Roman" w:hAnsi="Arial" w:cs="Arial"/>
                <w:b/>
                <w:lang w:val="en-GB" w:eastAsia="sk-SK"/>
              </w:rPr>
              <w:t>+ 8.</w:t>
            </w:r>
            <w:r w:rsidR="00AB0B89" w:rsidRPr="00382C0A">
              <w:rPr>
                <w:rFonts w:ascii="Arial" w:eastAsia="Times New Roman" w:hAnsi="Arial" w:cs="Arial"/>
                <w:b/>
                <w:lang w:val="en-GB" w:eastAsia="sk-SK"/>
              </w:rPr>
              <w:t>08%</w:t>
            </w:r>
          </w:p>
        </w:tc>
      </w:tr>
    </w:tbl>
    <w:bookmarkEnd w:id="0"/>
    <w:p w:rsidR="00D14FB0" w:rsidRDefault="00D14FB0">
      <w:pPr>
        <w:shd w:val="clear" w:color="auto" w:fill="FFFFFF"/>
        <w:spacing w:before="120" w:after="120"/>
        <w:jc w:val="both"/>
        <w:rPr>
          <w:rFonts w:ascii="Arial" w:hAnsi="Arial" w:cs="Arial"/>
          <w:lang w:val="en-GB"/>
        </w:rPr>
      </w:pPr>
      <w:r w:rsidRPr="00382C0A">
        <w:rPr>
          <w:rFonts w:ascii="Arial" w:eastAsia="Times New Roman" w:hAnsi="Arial" w:cs="Arial"/>
          <w:lang w:val="en-GB" w:eastAsia="sk-SK"/>
        </w:rPr>
        <w:t>The stated investment costs are undiscounted and excluding VAT.</w:t>
      </w:r>
      <w:r w:rsidR="00AB0B89" w:rsidRPr="00382C0A">
        <w:rPr>
          <w:rFonts w:ascii="Arial" w:hAnsi="Arial" w:cs="Arial"/>
          <w:lang w:val="en-GB"/>
        </w:rPr>
        <w:t xml:space="preserve"> </w:t>
      </w:r>
      <w:r w:rsidRPr="00382C0A">
        <w:rPr>
          <w:rFonts w:ascii="Arial" w:hAnsi="Arial" w:cs="Arial"/>
          <w:lang w:val="en-GB"/>
        </w:rPr>
        <w:t>The total investment costs of the construction are higher mainly due to the unfavourable</w:t>
      </w:r>
      <w:r w:rsidR="00382C0A">
        <w:rPr>
          <w:rFonts w:ascii="Arial" w:hAnsi="Arial" w:cs="Arial"/>
          <w:lang w:val="en-GB"/>
        </w:rPr>
        <w:t xml:space="preserve"> geological subsoil</w:t>
      </w:r>
      <w:r w:rsidRPr="00382C0A">
        <w:rPr>
          <w:rFonts w:ascii="Arial" w:hAnsi="Arial" w:cs="Arial"/>
          <w:lang w:val="en-GB"/>
        </w:rPr>
        <w:t xml:space="preserve"> which was not </w:t>
      </w:r>
      <w:r w:rsidR="00382C0A">
        <w:rPr>
          <w:rFonts w:ascii="Arial" w:hAnsi="Arial" w:cs="Arial"/>
          <w:lang w:val="en-GB"/>
        </w:rPr>
        <w:t>anticipated in the project documentation and</w:t>
      </w:r>
      <w:r w:rsidRPr="00382C0A">
        <w:rPr>
          <w:rFonts w:ascii="Arial" w:hAnsi="Arial" w:cs="Arial"/>
          <w:lang w:val="en-GB"/>
        </w:rPr>
        <w:t xml:space="preserve"> which was reflected in increased financing of the retaining wall. The total investment costs were also adversely affected </w:t>
      </w:r>
      <w:r w:rsidR="00382C0A">
        <w:rPr>
          <w:rFonts w:ascii="Arial" w:hAnsi="Arial" w:cs="Arial"/>
          <w:lang w:val="en-GB"/>
        </w:rPr>
        <w:t>by the tragic event in Kurimany</w:t>
      </w:r>
      <w:r w:rsidRPr="00382C0A">
        <w:rPr>
          <w:rFonts w:ascii="Arial" w:hAnsi="Arial" w:cs="Arial"/>
          <w:lang w:val="en-GB"/>
        </w:rPr>
        <w:t xml:space="preserve"> where the concrete </w:t>
      </w:r>
      <w:r w:rsidR="00382C0A">
        <w:rPr>
          <w:rFonts w:ascii="Arial" w:hAnsi="Arial" w:cs="Arial"/>
          <w:lang w:val="en-GB"/>
        </w:rPr>
        <w:t>motorway</w:t>
      </w:r>
      <w:r w:rsidRPr="00382C0A">
        <w:rPr>
          <w:rFonts w:ascii="Arial" w:hAnsi="Arial" w:cs="Arial"/>
          <w:lang w:val="en-GB"/>
        </w:rPr>
        <w:t xml:space="preserve"> bridge collapsed.</w:t>
      </w:r>
    </w:p>
    <w:p w:rsidR="00382C0A" w:rsidRPr="00382C0A" w:rsidRDefault="00382C0A">
      <w:pPr>
        <w:shd w:val="clear" w:color="auto" w:fill="FFFFFF"/>
        <w:spacing w:before="120" w:after="120"/>
        <w:jc w:val="both"/>
        <w:rPr>
          <w:rFonts w:ascii="Arial" w:hAnsi="Arial" w:cs="Arial"/>
          <w:lang w:val="en-GB"/>
        </w:rPr>
      </w:pPr>
    </w:p>
    <w:tbl>
      <w:tblPr>
        <w:tblW w:w="9050" w:type="dxa"/>
        <w:tblCellMar>
          <w:left w:w="10" w:type="dxa"/>
          <w:right w:w="10" w:type="dxa"/>
        </w:tblCellMar>
        <w:tblLook w:val="04A0" w:firstRow="1" w:lastRow="0" w:firstColumn="1" w:lastColumn="0" w:noHBand="0" w:noVBand="1"/>
      </w:tblPr>
      <w:tblGrid>
        <w:gridCol w:w="2079"/>
        <w:gridCol w:w="2891"/>
        <w:gridCol w:w="2835"/>
        <w:gridCol w:w="1245"/>
      </w:tblGrid>
      <w:tr w:rsidR="00382C0A" w:rsidRPr="00382C0A">
        <w:tc>
          <w:tcPr>
            <w:tcW w:w="2079"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rFonts w:ascii="Arial" w:eastAsia="Times New Roman" w:hAnsi="Arial" w:cs="Arial"/>
                <w:b/>
                <w:lang w:val="en-GB" w:eastAsia="sk-SK"/>
              </w:rPr>
            </w:pPr>
            <w:bookmarkStart w:id="1" w:name="_Hlk14695165"/>
            <w:r w:rsidRPr="00382C0A">
              <w:rPr>
                <w:rFonts w:ascii="Arial" w:eastAsia="Times New Roman" w:hAnsi="Arial" w:cs="Arial"/>
                <w:b/>
                <w:lang w:val="en-GB" w:eastAsia="sk-SK"/>
              </w:rPr>
              <w:t>Residual value</w:t>
            </w:r>
          </w:p>
        </w:tc>
        <w:tc>
          <w:tcPr>
            <w:tcW w:w="289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original</w:t>
            </w:r>
          </w:p>
          <w:p w:rsidR="005B7DD7" w:rsidRPr="00382C0A" w:rsidRDefault="00AB0B89" w:rsidP="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126 742 406 EUR</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updated</w:t>
            </w:r>
          </w:p>
          <w:p w:rsidR="005B7DD7" w:rsidRPr="00382C0A" w:rsidRDefault="00AB0B89" w:rsidP="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151 875 080 EUR</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+ 19.</w:t>
            </w:r>
            <w:r w:rsidR="00AB0B89" w:rsidRPr="00382C0A">
              <w:rPr>
                <w:rFonts w:ascii="Arial" w:eastAsia="Times New Roman" w:hAnsi="Arial" w:cs="Arial"/>
                <w:b/>
                <w:lang w:val="en-GB" w:eastAsia="sk-SK"/>
              </w:rPr>
              <w:t>83%</w:t>
            </w:r>
          </w:p>
        </w:tc>
      </w:tr>
    </w:tbl>
    <w:bookmarkEnd w:id="1"/>
    <w:p w:rsidR="00382C0A" w:rsidRDefault="00382C0A">
      <w:pPr>
        <w:shd w:val="clear" w:color="auto" w:fill="FFFFFF"/>
        <w:spacing w:before="120" w:after="120"/>
        <w:jc w:val="both"/>
        <w:rPr>
          <w:rFonts w:ascii="Arial" w:eastAsia="Times New Roman" w:hAnsi="Arial" w:cs="Arial"/>
          <w:lang w:val="en-GB" w:eastAsia="sk-SK"/>
        </w:rPr>
      </w:pPr>
      <w:r w:rsidRPr="00382C0A">
        <w:rPr>
          <w:rFonts w:ascii="Arial" w:eastAsia="Times New Roman" w:hAnsi="Arial" w:cs="Arial"/>
          <w:lang w:val="en-GB" w:eastAsia="sk-SK"/>
        </w:rPr>
        <w:t>Higher investment costs also have an impact on the residual value. The residual value was recalculated using the 'lifetime of infrastructure elements' method.</w:t>
      </w:r>
    </w:p>
    <w:p w:rsidR="005B7DD7" w:rsidRPr="00382C0A" w:rsidRDefault="005B7DD7">
      <w:pPr>
        <w:shd w:val="clear" w:color="auto" w:fill="FFFFFF"/>
        <w:spacing w:before="120" w:after="120"/>
        <w:jc w:val="both"/>
        <w:rPr>
          <w:rFonts w:ascii="Arial" w:eastAsia="Times New Roman" w:hAnsi="Arial" w:cs="Arial"/>
          <w:lang w:val="en-GB" w:eastAsia="sk-SK"/>
        </w:rPr>
      </w:pPr>
    </w:p>
    <w:tbl>
      <w:tblPr>
        <w:tblW w:w="9050" w:type="dxa"/>
        <w:tblCellMar>
          <w:left w:w="10" w:type="dxa"/>
          <w:right w:w="10" w:type="dxa"/>
        </w:tblCellMar>
        <w:tblLook w:val="04A0" w:firstRow="1" w:lastRow="0" w:firstColumn="1" w:lastColumn="0" w:noHBand="0" w:noVBand="1"/>
      </w:tblPr>
      <w:tblGrid>
        <w:gridCol w:w="2117"/>
        <w:gridCol w:w="2853"/>
        <w:gridCol w:w="2835"/>
        <w:gridCol w:w="1245"/>
      </w:tblGrid>
      <w:tr w:rsidR="00382C0A" w:rsidRPr="00382C0A">
        <w:tc>
          <w:tcPr>
            <w:tcW w:w="211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rFonts w:ascii="Arial" w:eastAsia="Times New Roman" w:hAnsi="Arial" w:cs="Arial"/>
                <w:b/>
                <w:lang w:val="en-GB" w:eastAsia="sk-SK"/>
              </w:rPr>
            </w:pPr>
            <w:bookmarkStart w:id="2" w:name="_Hlk14695271"/>
            <w:r w:rsidRPr="00382C0A">
              <w:rPr>
                <w:rFonts w:ascii="Arial" w:eastAsia="Times New Roman" w:hAnsi="Arial" w:cs="Arial"/>
                <w:b/>
                <w:lang w:val="en-GB" w:eastAsia="sk-SK"/>
              </w:rPr>
              <w:t>Revenues</w:t>
            </w:r>
          </w:p>
        </w:tc>
        <w:tc>
          <w:tcPr>
            <w:tcW w:w="285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original</w:t>
            </w:r>
          </w:p>
          <w:p w:rsidR="005B7DD7" w:rsidRPr="00382C0A" w:rsidRDefault="00AB0B89" w:rsidP="00D14FB0">
            <w:pPr>
              <w:spacing w:after="0"/>
              <w:jc w:val="center"/>
              <w:rPr>
                <w:rFonts w:ascii="Arial" w:eastAsia="Times New Roman" w:hAnsi="Arial" w:cs="Arial"/>
                <w:b/>
                <w:lang w:val="en-GB" w:eastAsia="sk-SK"/>
              </w:rPr>
            </w:pPr>
            <w:bookmarkStart w:id="3" w:name="OLE_LINK1"/>
            <w:r w:rsidRPr="00382C0A">
              <w:rPr>
                <w:rFonts w:ascii="Arial" w:eastAsia="Times New Roman" w:hAnsi="Arial" w:cs="Arial"/>
                <w:b/>
                <w:lang w:val="en-GB" w:eastAsia="sk-SK"/>
              </w:rPr>
              <w:t>81 164 870</w:t>
            </w:r>
            <w:bookmarkEnd w:id="3"/>
            <w:r w:rsidRPr="00382C0A">
              <w:rPr>
                <w:rFonts w:ascii="Arial" w:eastAsia="Times New Roman" w:hAnsi="Arial" w:cs="Arial"/>
                <w:b/>
                <w:lang w:val="en-GB" w:eastAsia="sk-SK"/>
              </w:rPr>
              <w:t>EUR</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updated</w:t>
            </w:r>
          </w:p>
          <w:p w:rsidR="005B7DD7" w:rsidRPr="00382C0A" w:rsidRDefault="00AB0B89" w:rsidP="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54 297 473 EUR</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AB0B89" w:rsidP="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- 33</w:t>
            </w:r>
            <w:r w:rsidR="00D14FB0" w:rsidRPr="00382C0A">
              <w:rPr>
                <w:rFonts w:ascii="Arial" w:eastAsia="Times New Roman" w:hAnsi="Arial" w:cs="Arial"/>
                <w:b/>
                <w:lang w:val="en-GB" w:eastAsia="sk-SK"/>
              </w:rPr>
              <w:t>.</w:t>
            </w:r>
            <w:r w:rsidRPr="00382C0A">
              <w:rPr>
                <w:rFonts w:ascii="Arial" w:eastAsia="Times New Roman" w:hAnsi="Arial" w:cs="Arial"/>
                <w:b/>
                <w:lang w:val="en-GB" w:eastAsia="sk-SK"/>
              </w:rPr>
              <w:t>1%</w:t>
            </w:r>
          </w:p>
        </w:tc>
      </w:tr>
    </w:tbl>
    <w:bookmarkEnd w:id="2"/>
    <w:p w:rsidR="00382C0A" w:rsidRDefault="00382C0A">
      <w:pPr>
        <w:shd w:val="clear" w:color="auto" w:fill="FFFFFF"/>
        <w:spacing w:before="120" w:after="120"/>
        <w:jc w:val="both"/>
        <w:rPr>
          <w:rFonts w:ascii="Arial" w:eastAsia="Times New Roman" w:hAnsi="Arial" w:cs="Arial"/>
          <w:lang w:val="en-GB" w:eastAsia="sk-SK"/>
        </w:rPr>
      </w:pPr>
      <w:r w:rsidRPr="00382C0A">
        <w:rPr>
          <w:rFonts w:ascii="Arial" w:eastAsia="Times New Roman" w:hAnsi="Arial" w:cs="Arial"/>
          <w:lang w:val="en-GB" w:eastAsia="sk-SK"/>
        </w:rPr>
        <w:t>Toll revenue (as the only project income) is directly dependent on intensities</w:t>
      </w:r>
      <w:r>
        <w:rPr>
          <w:rFonts w:ascii="Arial" w:eastAsia="Times New Roman" w:hAnsi="Arial" w:cs="Arial"/>
          <w:lang w:val="en-GB" w:eastAsia="sk-SK"/>
        </w:rPr>
        <w:t xml:space="preserve"> of freight transport</w:t>
      </w:r>
      <w:r w:rsidRPr="00382C0A">
        <w:rPr>
          <w:rFonts w:ascii="Arial" w:eastAsia="Times New Roman" w:hAnsi="Arial" w:cs="Arial"/>
          <w:lang w:val="en-GB" w:eastAsia="sk-SK"/>
        </w:rPr>
        <w:t xml:space="preserve">. The intensities of freight transport in this section are lower compared to the expected intensities of traffic from the original CBA. Data on </w:t>
      </w:r>
      <w:r>
        <w:rPr>
          <w:rFonts w:ascii="Arial" w:eastAsia="Times New Roman" w:hAnsi="Arial" w:cs="Arial"/>
          <w:lang w:val="en-GB" w:eastAsia="sk-SK"/>
        </w:rPr>
        <w:t xml:space="preserve">the </w:t>
      </w:r>
      <w:r w:rsidRPr="00382C0A">
        <w:rPr>
          <w:rFonts w:ascii="Arial" w:eastAsia="Times New Roman" w:hAnsi="Arial" w:cs="Arial"/>
          <w:lang w:val="en-GB" w:eastAsia="sk-SK"/>
        </w:rPr>
        <w:t>toll collection in EUR are directly from the NDS a.s. for the years 2015 - 2018 with the prediction of development on the basis of expected intensities of freight transport.</w:t>
      </w:r>
    </w:p>
    <w:p w:rsidR="005B7DD7" w:rsidRPr="00382C0A" w:rsidRDefault="005B7DD7">
      <w:pPr>
        <w:shd w:val="clear" w:color="auto" w:fill="FFFFFF"/>
        <w:spacing w:before="120" w:after="120"/>
        <w:jc w:val="both"/>
        <w:rPr>
          <w:rFonts w:ascii="Arial" w:eastAsia="Times New Roman" w:hAnsi="Arial" w:cs="Arial"/>
          <w:lang w:val="en-GB" w:eastAsia="sk-SK"/>
        </w:rPr>
      </w:pPr>
    </w:p>
    <w:tbl>
      <w:tblPr>
        <w:tblW w:w="9050" w:type="dxa"/>
        <w:tblCellMar>
          <w:left w:w="10" w:type="dxa"/>
          <w:right w:w="10" w:type="dxa"/>
        </w:tblCellMar>
        <w:tblLook w:val="04A0" w:firstRow="1" w:lastRow="0" w:firstColumn="1" w:lastColumn="0" w:noHBand="0" w:noVBand="1"/>
      </w:tblPr>
      <w:tblGrid>
        <w:gridCol w:w="2028"/>
        <w:gridCol w:w="2942"/>
        <w:gridCol w:w="2835"/>
        <w:gridCol w:w="1245"/>
      </w:tblGrid>
      <w:tr w:rsidR="00382C0A" w:rsidRPr="00382C0A">
        <w:tc>
          <w:tcPr>
            <w:tcW w:w="202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rFonts w:ascii="Arial" w:eastAsia="Times New Roman" w:hAnsi="Arial" w:cs="Arial"/>
                <w:b/>
                <w:lang w:val="en-GB" w:eastAsia="sk-SK"/>
              </w:rPr>
            </w:pPr>
            <w:bookmarkStart w:id="4" w:name="_Hlk14695949"/>
            <w:r w:rsidRPr="00382C0A">
              <w:rPr>
                <w:rFonts w:ascii="Arial" w:eastAsia="Times New Roman" w:hAnsi="Arial" w:cs="Arial"/>
                <w:b/>
                <w:lang w:val="en-GB" w:eastAsia="sk-SK"/>
              </w:rPr>
              <w:t>Costs</w:t>
            </w:r>
          </w:p>
        </w:tc>
        <w:tc>
          <w:tcPr>
            <w:tcW w:w="29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original</w:t>
            </w:r>
          </w:p>
          <w:p w:rsidR="005B7DD7" w:rsidRPr="00382C0A" w:rsidRDefault="00AB0B89" w:rsidP="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 77 294 430 EUR</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D14FB0" w:rsidRPr="00382C0A" w:rsidRDefault="00D14FB0" w:rsidP="00D14FB0">
            <w:pPr>
              <w:spacing w:after="0"/>
              <w:jc w:val="center"/>
              <w:rPr>
                <w:rFonts w:ascii="Arial" w:eastAsia="Times New Roman" w:hAnsi="Arial" w:cs="Arial"/>
                <w:lang w:val="en-GB" w:eastAsia="sk-SK"/>
              </w:rPr>
            </w:pPr>
            <w:r w:rsidRPr="00382C0A">
              <w:rPr>
                <w:rFonts w:ascii="Arial" w:eastAsia="Times New Roman" w:hAnsi="Arial" w:cs="Arial"/>
                <w:lang w:val="en-GB" w:eastAsia="sk-SK"/>
              </w:rPr>
              <w:t>updated</w:t>
            </w:r>
          </w:p>
          <w:p w:rsidR="005B7DD7" w:rsidRPr="00382C0A" w:rsidRDefault="00AB0B89" w:rsidP="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78 247 659 EUR</w:t>
            </w:r>
          </w:p>
        </w:tc>
        <w:tc>
          <w:tcPr>
            <w:tcW w:w="12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D14FB0">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+ 1.</w:t>
            </w:r>
            <w:r w:rsidR="00AB0B89" w:rsidRPr="00382C0A">
              <w:rPr>
                <w:rFonts w:ascii="Arial" w:eastAsia="Times New Roman" w:hAnsi="Arial" w:cs="Arial"/>
                <w:b/>
                <w:lang w:val="en-GB" w:eastAsia="sk-SK"/>
              </w:rPr>
              <w:t>23%</w:t>
            </w:r>
          </w:p>
        </w:tc>
      </w:tr>
      <w:bookmarkEnd w:id="4"/>
    </w:tbl>
    <w:p w:rsidR="00382C0A" w:rsidRDefault="00382C0A">
      <w:pPr>
        <w:shd w:val="clear" w:color="auto" w:fill="FFFFFF"/>
        <w:spacing w:before="120" w:after="120"/>
        <w:jc w:val="both"/>
        <w:rPr>
          <w:rFonts w:ascii="Arial" w:eastAsia="Times New Roman" w:hAnsi="Arial" w:cs="Arial"/>
          <w:lang w:val="en-GB" w:eastAsia="sk-SK"/>
        </w:rPr>
      </w:pPr>
    </w:p>
    <w:p w:rsidR="00382C0A" w:rsidRDefault="00382C0A">
      <w:pPr>
        <w:shd w:val="clear" w:color="auto" w:fill="FFFFFF"/>
        <w:spacing w:before="120" w:after="120"/>
        <w:jc w:val="both"/>
        <w:rPr>
          <w:rFonts w:ascii="Arial" w:eastAsia="Times New Roman" w:hAnsi="Arial" w:cs="Arial"/>
          <w:lang w:val="en-GB" w:eastAsia="sk-SK"/>
        </w:rPr>
      </w:pPr>
      <w:r w:rsidRPr="00382C0A">
        <w:rPr>
          <w:rFonts w:ascii="Arial" w:eastAsia="Times New Roman" w:hAnsi="Arial" w:cs="Arial"/>
          <w:lang w:val="en-GB" w:eastAsia="sk-SK"/>
        </w:rPr>
        <w:t>The project costs consist of the costs of operating and maintaining the infrastructure and the costs of operating the toll</w:t>
      </w:r>
      <w:r>
        <w:rPr>
          <w:rFonts w:ascii="Arial" w:eastAsia="Times New Roman" w:hAnsi="Arial" w:cs="Arial"/>
          <w:lang w:val="en-GB" w:eastAsia="sk-SK"/>
        </w:rPr>
        <w:t xml:space="preserve"> system</w:t>
      </w:r>
      <w:r w:rsidRPr="00382C0A">
        <w:rPr>
          <w:rFonts w:ascii="Arial" w:eastAsia="Times New Roman" w:hAnsi="Arial" w:cs="Arial"/>
          <w:lang w:val="en-GB" w:eastAsia="sk-SK"/>
        </w:rPr>
        <w:t xml:space="preserve">. The original calculation of expenses is relatively accurate compared to the real costs incurred for the years 2015 - 2018 in the given </w:t>
      </w:r>
      <w:r>
        <w:rPr>
          <w:rFonts w:ascii="Arial" w:eastAsia="Times New Roman" w:hAnsi="Arial" w:cs="Arial"/>
          <w:lang w:val="en-GB" w:eastAsia="sk-SK"/>
        </w:rPr>
        <w:t xml:space="preserve">motorway </w:t>
      </w:r>
      <w:r w:rsidRPr="00382C0A">
        <w:rPr>
          <w:rFonts w:ascii="Arial" w:eastAsia="Times New Roman" w:hAnsi="Arial" w:cs="Arial"/>
          <w:lang w:val="en-GB" w:eastAsia="sk-SK"/>
        </w:rPr>
        <w:t xml:space="preserve">section. </w:t>
      </w:r>
      <w:r w:rsidR="003C7D6B">
        <w:rPr>
          <w:rFonts w:ascii="Arial" w:eastAsia="Times New Roman" w:hAnsi="Arial" w:cs="Arial"/>
          <w:lang w:val="en-GB" w:eastAsia="sk-SK"/>
        </w:rPr>
        <w:t>The data</w:t>
      </w:r>
      <w:r w:rsidRPr="00382C0A">
        <w:rPr>
          <w:rFonts w:ascii="Arial" w:eastAsia="Times New Roman" w:hAnsi="Arial" w:cs="Arial"/>
          <w:lang w:val="en-GB" w:eastAsia="sk-SK"/>
        </w:rPr>
        <w:t xml:space="preserve"> in EUR are </w:t>
      </w:r>
      <w:r w:rsidR="003C7D6B">
        <w:rPr>
          <w:rFonts w:ascii="Arial" w:eastAsia="Times New Roman" w:hAnsi="Arial" w:cs="Arial"/>
          <w:lang w:val="en-GB" w:eastAsia="sk-SK"/>
        </w:rPr>
        <w:t>also</w:t>
      </w:r>
      <w:r w:rsidRPr="00382C0A">
        <w:rPr>
          <w:rFonts w:ascii="Arial" w:eastAsia="Times New Roman" w:hAnsi="Arial" w:cs="Arial"/>
          <w:lang w:val="en-GB" w:eastAsia="sk-SK"/>
        </w:rPr>
        <w:t xml:space="preserve"> from</w:t>
      </w:r>
      <w:r w:rsidR="003C7D6B">
        <w:rPr>
          <w:rFonts w:ascii="Arial" w:eastAsia="Times New Roman" w:hAnsi="Arial" w:cs="Arial"/>
          <w:lang w:val="en-GB" w:eastAsia="sk-SK"/>
        </w:rPr>
        <w:t xml:space="preserve"> the accountancy of</w:t>
      </w:r>
      <w:r w:rsidRPr="00382C0A">
        <w:rPr>
          <w:rFonts w:ascii="Arial" w:eastAsia="Times New Roman" w:hAnsi="Arial" w:cs="Arial"/>
          <w:lang w:val="en-GB" w:eastAsia="sk-SK"/>
        </w:rPr>
        <w:t xml:space="preserve"> NDS a.s.</w:t>
      </w:r>
    </w:p>
    <w:p w:rsidR="005B7DD7" w:rsidRPr="00382C0A" w:rsidRDefault="005B7DD7">
      <w:pPr>
        <w:shd w:val="clear" w:color="auto" w:fill="FFFFFF"/>
        <w:jc w:val="center"/>
        <w:rPr>
          <w:rFonts w:ascii="Arial" w:eastAsia="Times New Roman" w:hAnsi="Arial" w:cs="Arial"/>
          <w:b/>
          <w:bCs/>
          <w:sz w:val="24"/>
          <w:szCs w:val="24"/>
          <w:lang w:val="en-GB" w:eastAsia="sk-SK"/>
        </w:rPr>
      </w:pPr>
    </w:p>
    <w:p w:rsidR="003C7D6B" w:rsidRDefault="003C7D6B" w:rsidP="003C7D6B">
      <w:pPr>
        <w:shd w:val="clear" w:color="auto" w:fill="FFFFFF"/>
        <w:ind w:firstLine="708"/>
        <w:jc w:val="center"/>
        <w:rPr>
          <w:rFonts w:ascii="Arial" w:eastAsia="Times New Roman" w:hAnsi="Arial" w:cs="Arial"/>
          <w:b/>
          <w:bCs/>
          <w:sz w:val="24"/>
          <w:szCs w:val="24"/>
          <w:lang w:val="en-GB" w:eastAsia="sk-SK"/>
        </w:rPr>
      </w:pPr>
      <w:r w:rsidRPr="003C7D6B">
        <w:rPr>
          <w:rFonts w:ascii="Arial" w:eastAsia="Times New Roman" w:hAnsi="Arial" w:cs="Arial"/>
          <w:b/>
          <w:bCs/>
          <w:sz w:val="24"/>
          <w:szCs w:val="24"/>
          <w:lang w:val="en-GB" w:eastAsia="sk-SK"/>
        </w:rPr>
        <w:t>Evaluation of economic analysis</w:t>
      </w:r>
    </w:p>
    <w:p w:rsidR="003C7D6B" w:rsidRDefault="003C7D6B">
      <w:pPr>
        <w:shd w:val="clear" w:color="auto" w:fill="FFFFFF"/>
        <w:ind w:firstLine="708"/>
        <w:jc w:val="both"/>
        <w:rPr>
          <w:rFonts w:ascii="Arial" w:eastAsia="Times New Roman" w:hAnsi="Arial" w:cs="Arial"/>
          <w:lang w:val="en-GB" w:eastAsia="sk-SK"/>
        </w:rPr>
      </w:pPr>
    </w:p>
    <w:p w:rsidR="003C7D6B" w:rsidRPr="003C7D6B" w:rsidRDefault="003C7D6B" w:rsidP="003C7D6B">
      <w:pPr>
        <w:shd w:val="clear" w:color="auto" w:fill="FFFFFF"/>
        <w:ind w:firstLine="708"/>
        <w:jc w:val="both"/>
        <w:rPr>
          <w:rFonts w:ascii="Arial" w:eastAsia="Times New Roman" w:hAnsi="Arial" w:cs="Arial"/>
          <w:lang w:val="en-GB" w:eastAsia="sk-SK"/>
        </w:rPr>
      </w:pPr>
      <w:r w:rsidRPr="003C7D6B">
        <w:rPr>
          <w:rFonts w:ascii="Arial" w:eastAsia="Times New Roman" w:hAnsi="Arial" w:cs="Arial"/>
          <w:lang w:val="en-GB" w:eastAsia="sk-SK"/>
        </w:rPr>
        <w:t xml:space="preserve">The cost/benefit ratio (B / C) </w:t>
      </w:r>
      <w:r>
        <w:rPr>
          <w:rFonts w:ascii="Arial" w:eastAsia="Times New Roman" w:hAnsi="Arial" w:cs="Arial"/>
          <w:lang w:val="en-GB" w:eastAsia="sk-SK"/>
        </w:rPr>
        <w:t xml:space="preserve">has </w:t>
      </w:r>
      <w:r w:rsidRPr="003C7D6B">
        <w:rPr>
          <w:rFonts w:ascii="Arial" w:eastAsia="Times New Roman" w:hAnsi="Arial" w:cs="Arial"/>
          <w:lang w:val="en-GB" w:eastAsia="sk-SK"/>
        </w:rPr>
        <w:t xml:space="preserve">increased from </w:t>
      </w:r>
      <w:r w:rsidRPr="003C7D6B">
        <w:rPr>
          <w:rFonts w:ascii="Arial" w:eastAsia="Times New Roman" w:hAnsi="Arial" w:cs="Arial"/>
          <w:b/>
          <w:lang w:val="en-GB" w:eastAsia="sk-SK"/>
        </w:rPr>
        <w:t>4.02</w:t>
      </w:r>
      <w:r w:rsidRPr="003C7D6B">
        <w:rPr>
          <w:rFonts w:ascii="Arial" w:eastAsia="Times New Roman" w:hAnsi="Arial" w:cs="Arial"/>
          <w:lang w:val="en-GB" w:eastAsia="sk-SK"/>
        </w:rPr>
        <w:t xml:space="preserve"> to </w:t>
      </w:r>
      <w:r w:rsidRPr="003C7D6B">
        <w:rPr>
          <w:rFonts w:ascii="Arial" w:eastAsia="Times New Roman" w:hAnsi="Arial" w:cs="Arial"/>
          <w:b/>
          <w:lang w:val="en-GB" w:eastAsia="sk-SK"/>
        </w:rPr>
        <w:t>5.02</w:t>
      </w:r>
      <w:r w:rsidRPr="003C7D6B">
        <w:rPr>
          <w:rFonts w:ascii="Arial" w:eastAsia="Times New Roman" w:hAnsi="Arial" w:cs="Arial"/>
          <w:lang w:val="en-GB" w:eastAsia="sk-SK"/>
        </w:rPr>
        <w:t>. The increase was due to greater time savings for passengers on the affected motorway section</w:t>
      </w:r>
      <w:r>
        <w:rPr>
          <w:rFonts w:ascii="Arial" w:eastAsia="Times New Roman" w:hAnsi="Arial" w:cs="Arial"/>
          <w:lang w:val="en-GB" w:eastAsia="sk-SK"/>
        </w:rPr>
        <w:t xml:space="preserve"> as well as</w:t>
      </w:r>
      <w:r w:rsidRPr="003C7D6B">
        <w:rPr>
          <w:rFonts w:ascii="Arial" w:eastAsia="Times New Roman" w:hAnsi="Arial" w:cs="Arial"/>
          <w:lang w:val="en-GB" w:eastAsia="sk-SK"/>
        </w:rPr>
        <w:t xml:space="preserve"> for the entire adjacent road network of the surrounding area. Also, the number of accidents was lower than expected, resulting in higher cumulative accident savings.</w:t>
      </w:r>
    </w:p>
    <w:p w:rsidR="003C7D6B" w:rsidRDefault="003C7D6B" w:rsidP="003C7D6B">
      <w:pPr>
        <w:shd w:val="clear" w:color="auto" w:fill="FFFFFF"/>
        <w:ind w:firstLine="708"/>
        <w:jc w:val="both"/>
        <w:rPr>
          <w:rFonts w:ascii="Arial" w:eastAsia="Times New Roman" w:hAnsi="Arial" w:cs="Arial"/>
          <w:lang w:val="en-GB" w:eastAsia="sk-SK"/>
        </w:rPr>
      </w:pPr>
      <w:r w:rsidRPr="003C7D6B">
        <w:rPr>
          <w:rFonts w:ascii="Arial" w:eastAsia="Times New Roman" w:hAnsi="Arial" w:cs="Arial"/>
          <w:lang w:val="en-GB" w:eastAsia="sk-SK"/>
        </w:rPr>
        <w:t>All savings data below are discounted at an economic discount rate of 5.5%.</w:t>
      </w:r>
    </w:p>
    <w:p w:rsidR="005B7DD7" w:rsidRPr="00382C0A" w:rsidRDefault="005B7DD7">
      <w:pPr>
        <w:shd w:val="clear" w:color="auto" w:fill="FFFFFF"/>
        <w:spacing w:after="150"/>
        <w:ind w:firstLine="708"/>
        <w:jc w:val="both"/>
        <w:rPr>
          <w:rFonts w:ascii="Arial" w:eastAsia="Times New Roman" w:hAnsi="Arial" w:cs="Arial"/>
          <w:lang w:val="en-GB" w:eastAsia="sk-SK"/>
        </w:rPr>
      </w:pPr>
      <w:bookmarkStart w:id="5" w:name="_Hlk14696258"/>
    </w:p>
    <w:tbl>
      <w:tblPr>
        <w:tblW w:w="9050" w:type="dxa"/>
        <w:tblCellMar>
          <w:left w:w="10" w:type="dxa"/>
          <w:right w:w="10" w:type="dxa"/>
        </w:tblCellMar>
        <w:tblLook w:val="04A0" w:firstRow="1" w:lastRow="0" w:firstColumn="1" w:lastColumn="0" w:noHBand="0" w:noVBand="1"/>
      </w:tblPr>
      <w:tblGrid>
        <w:gridCol w:w="2560"/>
        <w:gridCol w:w="2551"/>
        <w:gridCol w:w="2678"/>
        <w:gridCol w:w="1261"/>
      </w:tblGrid>
      <w:tr w:rsidR="00382C0A" w:rsidRPr="00382C0A">
        <w:tc>
          <w:tcPr>
            <w:tcW w:w="25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3C7D6B" w:rsidRPr="003C7D6B" w:rsidRDefault="003C7D6B" w:rsidP="003C7D6B">
            <w:pPr>
              <w:spacing w:after="0"/>
              <w:jc w:val="center"/>
              <w:rPr>
                <w:rFonts w:ascii="Arial" w:eastAsia="Times New Roman" w:hAnsi="Arial" w:cs="Arial"/>
                <w:b/>
                <w:lang w:val="en-GB" w:eastAsia="sk-SK"/>
              </w:rPr>
            </w:pPr>
            <w:r w:rsidRPr="003C7D6B">
              <w:rPr>
                <w:rFonts w:ascii="Arial" w:eastAsia="Times New Roman" w:hAnsi="Arial" w:cs="Arial"/>
                <w:b/>
                <w:lang w:val="en-GB" w:eastAsia="sk-SK"/>
              </w:rPr>
              <w:t>Passenger travel time</w:t>
            </w:r>
          </w:p>
          <w:p w:rsidR="005B7DD7" w:rsidRPr="00382C0A" w:rsidRDefault="003C7D6B" w:rsidP="003C7D6B">
            <w:pPr>
              <w:spacing w:after="0"/>
              <w:jc w:val="center"/>
              <w:rPr>
                <w:rFonts w:ascii="Arial" w:eastAsia="Times New Roman" w:hAnsi="Arial" w:cs="Arial"/>
                <w:b/>
                <w:lang w:val="en-GB" w:eastAsia="sk-SK"/>
              </w:rPr>
            </w:pPr>
            <w:r w:rsidRPr="003C7D6B">
              <w:rPr>
                <w:rFonts w:ascii="Arial" w:eastAsia="Times New Roman" w:hAnsi="Arial" w:cs="Arial"/>
                <w:b/>
                <w:lang w:val="en-GB" w:eastAsia="sk-SK"/>
              </w:rPr>
              <w:t>savings</w:t>
            </w:r>
          </w:p>
        </w:tc>
        <w:tc>
          <w:tcPr>
            <w:tcW w:w="255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3C7D6B">
            <w:pPr>
              <w:spacing w:after="0"/>
              <w:jc w:val="center"/>
              <w:rPr>
                <w:rFonts w:ascii="Arial" w:eastAsia="Times New Roman" w:hAnsi="Arial" w:cs="Arial"/>
                <w:lang w:val="en-GB" w:eastAsia="sk-SK"/>
              </w:rPr>
            </w:pPr>
            <w:r>
              <w:rPr>
                <w:rFonts w:ascii="Arial" w:eastAsia="Times New Roman" w:hAnsi="Arial" w:cs="Arial"/>
                <w:lang w:val="en-GB" w:eastAsia="sk-SK"/>
              </w:rPr>
              <w:t>original</w:t>
            </w:r>
          </w:p>
          <w:p w:rsidR="005B7DD7" w:rsidRPr="00382C0A" w:rsidRDefault="00AB0B89">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497 858 353 EUR</w:t>
            </w:r>
          </w:p>
        </w:tc>
        <w:tc>
          <w:tcPr>
            <w:tcW w:w="2678"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3C7D6B" w:rsidRPr="00382C0A" w:rsidRDefault="003C7D6B" w:rsidP="003C7D6B">
            <w:pPr>
              <w:spacing w:after="0"/>
              <w:jc w:val="center"/>
              <w:rPr>
                <w:rFonts w:ascii="Arial" w:eastAsia="Times New Roman" w:hAnsi="Arial" w:cs="Arial"/>
                <w:lang w:val="en-GB" w:eastAsia="sk-SK"/>
              </w:rPr>
            </w:pPr>
            <w:r>
              <w:rPr>
                <w:rFonts w:ascii="Arial" w:eastAsia="Times New Roman" w:hAnsi="Arial" w:cs="Arial"/>
                <w:lang w:val="en-GB" w:eastAsia="sk-SK"/>
              </w:rPr>
              <w:t>updated</w:t>
            </w:r>
          </w:p>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852 614 527 EUR</w:t>
            </w:r>
          </w:p>
        </w:tc>
        <w:tc>
          <w:tcPr>
            <w:tcW w:w="12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+ 71</w:t>
            </w:r>
            <w:r w:rsidR="003C7D6B">
              <w:rPr>
                <w:rFonts w:ascii="Arial" w:eastAsia="Times New Roman" w:hAnsi="Arial" w:cs="Arial"/>
                <w:b/>
                <w:lang w:val="en-GB" w:eastAsia="sk-SK"/>
              </w:rPr>
              <w:t>.</w:t>
            </w:r>
            <w:r w:rsidRPr="00382C0A">
              <w:rPr>
                <w:rFonts w:ascii="Arial" w:eastAsia="Times New Roman" w:hAnsi="Arial" w:cs="Arial"/>
                <w:b/>
                <w:lang w:val="en-GB" w:eastAsia="sk-SK"/>
              </w:rPr>
              <w:t>26%</w:t>
            </w:r>
          </w:p>
        </w:tc>
      </w:tr>
    </w:tbl>
    <w:p w:rsidR="003C7D6B" w:rsidRDefault="003C7D6B">
      <w:pPr>
        <w:shd w:val="clear" w:color="auto" w:fill="FFFFFF"/>
        <w:spacing w:before="120" w:after="120"/>
        <w:jc w:val="both"/>
        <w:rPr>
          <w:rFonts w:ascii="Arial" w:eastAsia="Times New Roman" w:hAnsi="Arial" w:cs="Arial"/>
          <w:lang w:val="en-GB" w:eastAsia="sk-SK"/>
        </w:rPr>
      </w:pPr>
    </w:p>
    <w:p w:rsidR="003C7D6B" w:rsidRDefault="003C7D6B">
      <w:pPr>
        <w:shd w:val="clear" w:color="auto" w:fill="FFFFFF"/>
        <w:spacing w:before="120" w:after="120"/>
        <w:jc w:val="both"/>
        <w:rPr>
          <w:rFonts w:ascii="Arial" w:eastAsia="Times New Roman" w:hAnsi="Arial" w:cs="Arial"/>
          <w:lang w:val="en-GB" w:eastAsia="sk-SK"/>
        </w:rPr>
      </w:pPr>
      <w:r>
        <w:rPr>
          <w:rFonts w:ascii="Arial" w:eastAsia="Times New Roman" w:hAnsi="Arial" w:cs="Arial"/>
          <w:lang w:val="en-GB" w:eastAsia="sk-SK"/>
        </w:rPr>
        <w:t>A</w:t>
      </w:r>
      <w:r w:rsidRPr="003C7D6B">
        <w:rPr>
          <w:rFonts w:ascii="Arial" w:eastAsia="Times New Roman" w:hAnsi="Arial" w:cs="Arial"/>
          <w:lang w:val="en-GB" w:eastAsia="sk-SK"/>
        </w:rPr>
        <w:t xml:space="preserve"> transport model </w:t>
      </w:r>
      <w:r>
        <w:rPr>
          <w:rFonts w:ascii="Arial" w:eastAsia="Times New Roman" w:hAnsi="Arial" w:cs="Arial"/>
          <w:lang w:val="en-GB" w:eastAsia="sk-SK"/>
        </w:rPr>
        <w:t>f</w:t>
      </w:r>
      <w:r w:rsidRPr="003C7D6B">
        <w:rPr>
          <w:rFonts w:ascii="Arial" w:eastAsia="Times New Roman" w:hAnsi="Arial" w:cs="Arial"/>
          <w:lang w:val="en-GB" w:eastAsia="sk-SK"/>
        </w:rPr>
        <w:t>or the</w:t>
      </w:r>
      <w:r>
        <w:rPr>
          <w:rFonts w:ascii="Arial" w:eastAsia="Times New Roman" w:hAnsi="Arial" w:cs="Arial"/>
          <w:lang w:val="en-GB" w:eastAsia="sk-SK"/>
        </w:rPr>
        <w:t xml:space="preserve"> section of</w:t>
      </w:r>
      <w:r w:rsidRPr="003C7D6B">
        <w:rPr>
          <w:rFonts w:ascii="Arial" w:eastAsia="Times New Roman" w:hAnsi="Arial" w:cs="Arial"/>
          <w:lang w:val="en-GB" w:eastAsia="sk-SK"/>
        </w:rPr>
        <w:t xml:space="preserve"> D1 </w:t>
      </w:r>
      <w:r>
        <w:rPr>
          <w:rFonts w:ascii="Arial" w:eastAsia="Times New Roman" w:hAnsi="Arial" w:cs="Arial"/>
          <w:lang w:val="en-GB" w:eastAsia="sk-SK"/>
        </w:rPr>
        <w:t>J</w:t>
      </w:r>
      <w:r w:rsidRPr="003C7D6B">
        <w:rPr>
          <w:rFonts w:ascii="Arial" w:eastAsia="Times New Roman" w:hAnsi="Arial" w:cs="Arial"/>
          <w:lang w:val="en-GB" w:eastAsia="sk-SK"/>
        </w:rPr>
        <w:t>ánovce</w:t>
      </w:r>
      <w:r>
        <w:rPr>
          <w:rFonts w:ascii="Arial" w:eastAsia="Times New Roman" w:hAnsi="Arial" w:cs="Arial"/>
          <w:lang w:val="en-GB" w:eastAsia="sk-SK"/>
        </w:rPr>
        <w:t xml:space="preserve"> – </w:t>
      </w:r>
      <w:r w:rsidRPr="003C7D6B">
        <w:rPr>
          <w:rFonts w:ascii="Arial" w:eastAsia="Times New Roman" w:hAnsi="Arial" w:cs="Arial"/>
          <w:lang w:val="en-GB" w:eastAsia="sk-SK"/>
        </w:rPr>
        <w:t>Jablonov</w:t>
      </w:r>
      <w:r>
        <w:rPr>
          <w:rFonts w:ascii="Arial" w:eastAsia="Times New Roman" w:hAnsi="Arial" w:cs="Arial"/>
          <w:lang w:val="en-GB" w:eastAsia="sk-SK"/>
        </w:rPr>
        <w:t xml:space="preserve"> including</w:t>
      </w:r>
      <w:r w:rsidR="007D28B1">
        <w:rPr>
          <w:rFonts w:ascii="Arial" w:eastAsia="Times New Roman" w:hAnsi="Arial" w:cs="Arial"/>
          <w:lang w:val="en-GB" w:eastAsia="sk-SK"/>
        </w:rPr>
        <w:t xml:space="preserve"> </w:t>
      </w:r>
      <w:r w:rsidRPr="003C7D6B">
        <w:rPr>
          <w:rFonts w:ascii="Arial" w:eastAsia="Times New Roman" w:hAnsi="Arial" w:cs="Arial"/>
          <w:lang w:val="en-GB" w:eastAsia="sk-SK"/>
        </w:rPr>
        <w:t>an adjacent road network with a total length of 108.26km</w:t>
      </w:r>
      <w:r w:rsidRPr="003C7D6B">
        <w:rPr>
          <w:rFonts w:ascii="Arial" w:eastAsia="Times New Roman" w:hAnsi="Arial" w:cs="Arial"/>
          <w:lang w:val="en-GB" w:eastAsia="sk-SK"/>
        </w:rPr>
        <w:t xml:space="preserve"> was developed when</w:t>
      </w:r>
      <w:r>
        <w:rPr>
          <w:rFonts w:ascii="Arial" w:eastAsia="Times New Roman" w:hAnsi="Arial" w:cs="Arial"/>
          <w:lang w:val="en-GB" w:eastAsia="sk-SK"/>
        </w:rPr>
        <w:t xml:space="preserve"> the application</w:t>
      </w:r>
      <w:r w:rsidRPr="003C7D6B">
        <w:rPr>
          <w:rFonts w:ascii="Arial" w:eastAsia="Times New Roman" w:hAnsi="Arial" w:cs="Arial"/>
          <w:lang w:val="en-GB" w:eastAsia="sk-SK"/>
        </w:rPr>
        <w:t xml:space="preserve"> was submi</w:t>
      </w:r>
      <w:r w:rsidR="007D28B1">
        <w:rPr>
          <w:rFonts w:ascii="Arial" w:eastAsia="Times New Roman" w:hAnsi="Arial" w:cs="Arial"/>
          <w:lang w:val="en-GB" w:eastAsia="sk-SK"/>
        </w:rPr>
        <w:t xml:space="preserve">tted to the European Commission. Using </w:t>
      </w:r>
      <w:r w:rsidRPr="003C7D6B">
        <w:rPr>
          <w:rFonts w:ascii="Arial" w:eastAsia="Times New Roman" w:hAnsi="Arial" w:cs="Arial"/>
          <w:lang w:val="en-GB" w:eastAsia="sk-SK"/>
        </w:rPr>
        <w:t xml:space="preserve">real-time traffic intensities the interaction between 19 sections of the </w:t>
      </w:r>
      <w:r w:rsidR="007D28B1" w:rsidRPr="003C7D6B">
        <w:rPr>
          <w:rFonts w:ascii="Arial" w:eastAsia="Times New Roman" w:hAnsi="Arial" w:cs="Arial"/>
          <w:lang w:val="en-GB" w:eastAsia="sk-SK"/>
        </w:rPr>
        <w:t>modelled</w:t>
      </w:r>
      <w:r w:rsidRPr="003C7D6B">
        <w:rPr>
          <w:rFonts w:ascii="Arial" w:eastAsia="Times New Roman" w:hAnsi="Arial" w:cs="Arial"/>
          <w:lang w:val="en-GB" w:eastAsia="sk-SK"/>
        </w:rPr>
        <w:t xml:space="preserve"> area resulted in greater time savings for passengers (especially higher intensities on parallel and adjacent </w:t>
      </w:r>
      <w:r w:rsidR="007D28B1">
        <w:rPr>
          <w:rFonts w:ascii="Arial" w:eastAsia="Times New Roman" w:hAnsi="Arial" w:cs="Arial"/>
          <w:lang w:val="en-GB" w:eastAsia="sk-SK"/>
        </w:rPr>
        <w:t>first-class</w:t>
      </w:r>
      <w:r w:rsidRPr="003C7D6B">
        <w:rPr>
          <w:rFonts w:ascii="Arial" w:eastAsia="Times New Roman" w:hAnsi="Arial" w:cs="Arial"/>
          <w:lang w:val="en-GB" w:eastAsia="sk-SK"/>
        </w:rPr>
        <w:t xml:space="preserve"> roads.) An even more accurate assessment of time savings will be available in 2020 </w:t>
      </w:r>
      <w:r w:rsidR="007D28B1">
        <w:rPr>
          <w:rFonts w:ascii="Arial" w:eastAsia="Times New Roman" w:hAnsi="Arial" w:cs="Arial"/>
          <w:lang w:val="en-GB" w:eastAsia="sk-SK"/>
        </w:rPr>
        <w:t>subsequent to a national traffic census on the first</w:t>
      </w:r>
      <w:r w:rsidR="000B7296">
        <w:rPr>
          <w:rFonts w:ascii="Arial" w:eastAsia="Times New Roman" w:hAnsi="Arial" w:cs="Arial"/>
          <w:lang w:val="en-GB" w:eastAsia="sk-SK"/>
        </w:rPr>
        <w:t xml:space="preserve"> and second </w:t>
      </w:r>
      <w:r w:rsidR="007D28B1">
        <w:rPr>
          <w:rFonts w:ascii="Arial" w:eastAsia="Times New Roman" w:hAnsi="Arial" w:cs="Arial"/>
          <w:lang w:val="en-GB" w:eastAsia="sk-SK"/>
        </w:rPr>
        <w:t>class roads</w:t>
      </w:r>
      <w:r w:rsidR="000B7296">
        <w:rPr>
          <w:rFonts w:ascii="Arial" w:eastAsia="Times New Roman" w:hAnsi="Arial" w:cs="Arial"/>
          <w:lang w:val="en-GB" w:eastAsia="sk-SK"/>
        </w:rPr>
        <w:t>,</w:t>
      </w:r>
      <w:r w:rsidR="007D28B1">
        <w:rPr>
          <w:rFonts w:ascii="Arial" w:eastAsia="Times New Roman" w:hAnsi="Arial" w:cs="Arial"/>
          <w:lang w:val="en-GB" w:eastAsia="sk-SK"/>
        </w:rPr>
        <w:t xml:space="preserve"> </w:t>
      </w:r>
      <w:r w:rsidRPr="003C7D6B">
        <w:rPr>
          <w:rFonts w:ascii="Arial" w:eastAsia="Times New Roman" w:hAnsi="Arial" w:cs="Arial"/>
          <w:lang w:val="en-GB" w:eastAsia="sk-SK"/>
        </w:rPr>
        <w:t xml:space="preserve">as well as from automatic traffic counters </w:t>
      </w:r>
      <w:r w:rsidR="007D28B1">
        <w:rPr>
          <w:rFonts w:ascii="Arial" w:eastAsia="Times New Roman" w:hAnsi="Arial" w:cs="Arial"/>
          <w:lang w:val="en-GB" w:eastAsia="sk-SK"/>
        </w:rPr>
        <w:t xml:space="preserve">of </w:t>
      </w:r>
      <w:r w:rsidRPr="003C7D6B">
        <w:rPr>
          <w:rFonts w:ascii="Arial" w:eastAsia="Times New Roman" w:hAnsi="Arial" w:cs="Arial"/>
          <w:lang w:val="en-GB" w:eastAsia="sk-SK"/>
        </w:rPr>
        <w:t>NDS a.s.</w:t>
      </w:r>
      <w:r w:rsidR="007D28B1">
        <w:rPr>
          <w:rFonts w:ascii="Arial" w:eastAsia="Times New Roman" w:hAnsi="Arial" w:cs="Arial"/>
          <w:lang w:val="en-GB" w:eastAsia="sk-SK"/>
        </w:rPr>
        <w:t xml:space="preserve">, </w:t>
      </w:r>
      <w:r w:rsidR="00186EBE">
        <w:rPr>
          <w:rFonts w:ascii="Arial" w:eastAsia="Times New Roman" w:hAnsi="Arial" w:cs="Arial"/>
          <w:lang w:val="en-GB" w:eastAsia="sk-SK"/>
        </w:rPr>
        <w:t xml:space="preserve">eventually </w:t>
      </w:r>
      <w:r w:rsidR="00186EBE" w:rsidRPr="003C7D6B">
        <w:rPr>
          <w:rFonts w:ascii="Arial" w:eastAsia="Times New Roman" w:hAnsi="Arial" w:cs="Arial"/>
          <w:lang w:val="en-GB" w:eastAsia="sk-SK"/>
        </w:rPr>
        <w:t>from</w:t>
      </w:r>
      <w:r w:rsidRPr="003C7D6B">
        <w:rPr>
          <w:rFonts w:ascii="Arial" w:eastAsia="Times New Roman" w:hAnsi="Arial" w:cs="Arial"/>
          <w:lang w:val="en-GB" w:eastAsia="sk-SK"/>
        </w:rPr>
        <w:t xml:space="preserve"> </w:t>
      </w:r>
      <w:r w:rsidR="007D28B1">
        <w:rPr>
          <w:rFonts w:ascii="Arial" w:eastAsia="Times New Roman" w:hAnsi="Arial" w:cs="Arial"/>
          <w:lang w:val="en-GB" w:eastAsia="sk-SK"/>
        </w:rPr>
        <w:t xml:space="preserve">the </w:t>
      </w:r>
      <w:r w:rsidRPr="003C7D6B">
        <w:rPr>
          <w:rFonts w:ascii="Arial" w:eastAsia="Times New Roman" w:hAnsi="Arial" w:cs="Arial"/>
          <w:lang w:val="en-GB" w:eastAsia="sk-SK"/>
        </w:rPr>
        <w:t xml:space="preserve">toll </w:t>
      </w:r>
      <w:r w:rsidR="007D28B1">
        <w:rPr>
          <w:rFonts w:ascii="Arial" w:eastAsia="Times New Roman" w:hAnsi="Arial" w:cs="Arial"/>
          <w:lang w:val="en-GB" w:eastAsia="sk-SK"/>
        </w:rPr>
        <w:t>portals</w:t>
      </w:r>
      <w:r w:rsidRPr="003C7D6B">
        <w:rPr>
          <w:rFonts w:ascii="Arial" w:eastAsia="Times New Roman" w:hAnsi="Arial" w:cs="Arial"/>
          <w:lang w:val="en-GB" w:eastAsia="sk-SK"/>
        </w:rPr>
        <w:t xml:space="preserve"> data.</w:t>
      </w:r>
    </w:p>
    <w:p w:rsidR="005B7DD7" w:rsidRPr="00382C0A" w:rsidRDefault="005B7DD7">
      <w:pPr>
        <w:shd w:val="clear" w:color="auto" w:fill="FFFFFF"/>
        <w:spacing w:before="120" w:after="120"/>
        <w:jc w:val="both"/>
        <w:rPr>
          <w:rFonts w:ascii="Arial" w:eastAsia="Times New Roman" w:hAnsi="Arial" w:cs="Arial"/>
          <w:lang w:val="en-GB" w:eastAsia="sk-SK"/>
        </w:rPr>
      </w:pPr>
    </w:p>
    <w:tbl>
      <w:tblPr>
        <w:tblW w:w="9072" w:type="dxa"/>
        <w:tblInd w:w="-8" w:type="dxa"/>
        <w:tblCellMar>
          <w:left w:w="10" w:type="dxa"/>
          <w:right w:w="10" w:type="dxa"/>
        </w:tblCellMar>
        <w:tblLook w:val="04A0" w:firstRow="1" w:lastRow="0" w:firstColumn="1" w:lastColumn="0" w:noHBand="0" w:noVBand="1"/>
      </w:tblPr>
      <w:tblGrid>
        <w:gridCol w:w="2552"/>
        <w:gridCol w:w="2585"/>
        <w:gridCol w:w="2660"/>
        <w:gridCol w:w="1275"/>
      </w:tblGrid>
      <w:tr w:rsidR="00382C0A" w:rsidRPr="00382C0A">
        <w:tc>
          <w:tcPr>
            <w:tcW w:w="255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3C7D6B" w:rsidP="003C7D6B">
            <w:pPr>
              <w:spacing w:after="0"/>
              <w:jc w:val="center"/>
              <w:rPr>
                <w:rFonts w:ascii="Arial" w:eastAsia="Times New Roman" w:hAnsi="Arial" w:cs="Arial"/>
                <w:b/>
                <w:lang w:val="en-GB" w:eastAsia="sk-SK"/>
              </w:rPr>
            </w:pPr>
            <w:r w:rsidRPr="003C7D6B">
              <w:rPr>
                <w:rFonts w:ascii="Arial" w:eastAsia="Times New Roman" w:hAnsi="Arial" w:cs="Arial"/>
                <w:b/>
                <w:lang w:val="en-GB" w:eastAsia="sk-SK"/>
              </w:rPr>
              <w:t>Vehicle operating costs savings</w:t>
            </w:r>
          </w:p>
        </w:tc>
        <w:tc>
          <w:tcPr>
            <w:tcW w:w="258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3C7D6B" w:rsidRPr="00382C0A" w:rsidRDefault="003C7D6B" w:rsidP="003C7D6B">
            <w:pPr>
              <w:spacing w:after="0"/>
              <w:jc w:val="center"/>
              <w:rPr>
                <w:rFonts w:ascii="Arial" w:eastAsia="Times New Roman" w:hAnsi="Arial" w:cs="Arial"/>
                <w:lang w:val="en-GB" w:eastAsia="sk-SK"/>
              </w:rPr>
            </w:pPr>
            <w:r>
              <w:rPr>
                <w:rFonts w:ascii="Arial" w:eastAsia="Times New Roman" w:hAnsi="Arial" w:cs="Arial"/>
                <w:lang w:val="en-GB" w:eastAsia="sk-SK"/>
              </w:rPr>
              <w:t>original</w:t>
            </w:r>
          </w:p>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224 276 071 EUR</w:t>
            </w:r>
          </w:p>
        </w:tc>
        <w:tc>
          <w:tcPr>
            <w:tcW w:w="266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3C7D6B" w:rsidRPr="00382C0A" w:rsidRDefault="003C7D6B" w:rsidP="003C7D6B">
            <w:pPr>
              <w:spacing w:after="0"/>
              <w:jc w:val="center"/>
              <w:rPr>
                <w:rFonts w:ascii="Arial" w:eastAsia="Times New Roman" w:hAnsi="Arial" w:cs="Arial"/>
                <w:lang w:val="en-GB" w:eastAsia="sk-SK"/>
              </w:rPr>
            </w:pPr>
            <w:r>
              <w:rPr>
                <w:rFonts w:ascii="Arial" w:eastAsia="Times New Roman" w:hAnsi="Arial" w:cs="Arial"/>
                <w:lang w:val="en-GB" w:eastAsia="sk-SK"/>
              </w:rPr>
              <w:t>updated</w:t>
            </w:r>
          </w:p>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170 579 995 EUR</w:t>
            </w:r>
          </w:p>
        </w:tc>
        <w:tc>
          <w:tcPr>
            <w:tcW w:w="12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3C7D6B">
            <w:pPr>
              <w:spacing w:after="0"/>
              <w:jc w:val="center"/>
              <w:rPr>
                <w:rFonts w:ascii="Arial" w:eastAsia="Times New Roman" w:hAnsi="Arial" w:cs="Arial"/>
                <w:b/>
                <w:lang w:val="en-GB" w:eastAsia="sk-SK"/>
              </w:rPr>
            </w:pPr>
            <w:r>
              <w:rPr>
                <w:rFonts w:ascii="Arial" w:eastAsia="Times New Roman" w:hAnsi="Arial" w:cs="Arial"/>
                <w:b/>
                <w:lang w:val="en-GB" w:eastAsia="sk-SK"/>
              </w:rPr>
              <w:t>- 23.</w:t>
            </w:r>
            <w:r w:rsidR="00AB0B89" w:rsidRPr="00382C0A">
              <w:rPr>
                <w:rFonts w:ascii="Arial" w:eastAsia="Times New Roman" w:hAnsi="Arial" w:cs="Arial"/>
                <w:b/>
                <w:lang w:val="en-GB" w:eastAsia="sk-SK"/>
              </w:rPr>
              <w:t>94%</w:t>
            </w:r>
          </w:p>
        </w:tc>
      </w:tr>
    </w:tbl>
    <w:p w:rsidR="005B7DD7" w:rsidRPr="00382C0A" w:rsidRDefault="007D28B1">
      <w:pPr>
        <w:shd w:val="clear" w:color="auto" w:fill="FFFFFF"/>
        <w:spacing w:before="120" w:after="120"/>
        <w:jc w:val="both"/>
        <w:rPr>
          <w:rFonts w:ascii="Arial" w:eastAsia="Times New Roman" w:hAnsi="Arial" w:cs="Arial"/>
          <w:lang w:val="en-GB" w:eastAsia="sk-SK"/>
        </w:rPr>
      </w:pPr>
      <w:r w:rsidRPr="007D28B1">
        <w:rPr>
          <w:rFonts w:ascii="Arial" w:eastAsia="Times New Roman" w:hAnsi="Arial" w:cs="Arial"/>
          <w:lang w:val="en-GB" w:eastAsia="sk-SK"/>
        </w:rPr>
        <w:t>Vehicle operating costs are composed of fuel consumption and other vehicle operating costs (such as vehicle wear) where savings are reduced. This is again due to the interaction of the real measured intensities on the modelled</w:t>
      </w:r>
      <w:r>
        <w:rPr>
          <w:rFonts w:ascii="Arial" w:eastAsia="Times New Roman" w:hAnsi="Arial" w:cs="Arial"/>
          <w:lang w:val="en-GB" w:eastAsia="sk-SK"/>
        </w:rPr>
        <w:t xml:space="preserve"> road network</w:t>
      </w:r>
      <w:r w:rsidRPr="007D28B1">
        <w:rPr>
          <w:rFonts w:ascii="Arial" w:eastAsia="Times New Roman" w:hAnsi="Arial" w:cs="Arial"/>
          <w:lang w:val="en-GB" w:eastAsia="sk-SK"/>
        </w:rPr>
        <w:t xml:space="preserve"> where the key indicators were the lengths (in meters) of the sections considered and the speed of the vehicles in those sections, from which the average fuel consumption was calculated.</w:t>
      </w:r>
      <w:r w:rsidR="00AB0B89" w:rsidRPr="00382C0A">
        <w:rPr>
          <w:rFonts w:ascii="Arial" w:eastAsia="Times New Roman" w:hAnsi="Arial" w:cs="Arial"/>
          <w:lang w:val="en-GB" w:eastAsia="sk-SK"/>
        </w:rPr>
        <w:t xml:space="preserve"> </w:t>
      </w:r>
    </w:p>
    <w:p w:rsidR="005B7DD7" w:rsidRPr="00382C0A" w:rsidRDefault="005B7DD7">
      <w:pPr>
        <w:shd w:val="clear" w:color="auto" w:fill="FFFFFF"/>
        <w:spacing w:before="120" w:after="120"/>
        <w:jc w:val="both"/>
        <w:rPr>
          <w:rFonts w:ascii="Arial" w:eastAsia="Times New Roman" w:hAnsi="Arial" w:cs="Arial"/>
          <w:lang w:val="en-GB" w:eastAsia="sk-SK"/>
        </w:rPr>
      </w:pPr>
    </w:p>
    <w:tbl>
      <w:tblPr>
        <w:tblW w:w="9050" w:type="dxa"/>
        <w:tblCellMar>
          <w:left w:w="10" w:type="dxa"/>
          <w:right w:w="10" w:type="dxa"/>
        </w:tblCellMar>
        <w:tblLook w:val="04A0" w:firstRow="1" w:lastRow="0" w:firstColumn="1" w:lastColumn="0" w:noHBand="0" w:noVBand="1"/>
      </w:tblPr>
      <w:tblGrid>
        <w:gridCol w:w="2521"/>
        <w:gridCol w:w="2595"/>
        <w:gridCol w:w="2673"/>
        <w:gridCol w:w="1261"/>
      </w:tblGrid>
      <w:tr w:rsidR="00382C0A" w:rsidRPr="00382C0A">
        <w:tc>
          <w:tcPr>
            <w:tcW w:w="252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3C7D6B">
            <w:pPr>
              <w:spacing w:after="0"/>
              <w:jc w:val="center"/>
              <w:rPr>
                <w:rFonts w:ascii="Arial" w:eastAsia="Times New Roman" w:hAnsi="Arial" w:cs="Arial"/>
                <w:b/>
                <w:lang w:val="en-GB" w:eastAsia="sk-SK"/>
              </w:rPr>
            </w:pPr>
            <w:r w:rsidRPr="003C7D6B">
              <w:rPr>
                <w:rFonts w:ascii="Arial" w:eastAsia="Times New Roman" w:hAnsi="Arial" w:cs="Arial"/>
                <w:b/>
                <w:lang w:val="en-GB" w:eastAsia="sk-SK"/>
              </w:rPr>
              <w:t>Accident costs savings</w:t>
            </w:r>
          </w:p>
        </w:tc>
        <w:tc>
          <w:tcPr>
            <w:tcW w:w="259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3C7D6B" w:rsidRPr="00382C0A" w:rsidRDefault="003C7D6B" w:rsidP="003C7D6B">
            <w:pPr>
              <w:spacing w:after="0"/>
              <w:jc w:val="center"/>
              <w:rPr>
                <w:rFonts w:ascii="Arial" w:eastAsia="Times New Roman" w:hAnsi="Arial" w:cs="Arial"/>
                <w:lang w:val="en-GB" w:eastAsia="sk-SK"/>
              </w:rPr>
            </w:pPr>
            <w:r>
              <w:rPr>
                <w:rFonts w:ascii="Arial" w:eastAsia="Times New Roman" w:hAnsi="Arial" w:cs="Arial"/>
                <w:lang w:val="en-GB" w:eastAsia="sk-SK"/>
              </w:rPr>
              <w:t>original</w:t>
            </w:r>
          </w:p>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27 892 102 EUR</w:t>
            </w:r>
          </w:p>
        </w:tc>
        <w:tc>
          <w:tcPr>
            <w:tcW w:w="267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3C7D6B" w:rsidRPr="00382C0A" w:rsidRDefault="003C7D6B" w:rsidP="003C7D6B">
            <w:pPr>
              <w:spacing w:after="0"/>
              <w:jc w:val="center"/>
              <w:rPr>
                <w:rFonts w:ascii="Arial" w:eastAsia="Times New Roman" w:hAnsi="Arial" w:cs="Arial"/>
                <w:lang w:val="en-GB" w:eastAsia="sk-SK"/>
              </w:rPr>
            </w:pPr>
            <w:r>
              <w:rPr>
                <w:rFonts w:ascii="Arial" w:eastAsia="Times New Roman" w:hAnsi="Arial" w:cs="Arial"/>
                <w:lang w:val="en-GB" w:eastAsia="sk-SK"/>
              </w:rPr>
              <w:t>updated</w:t>
            </w:r>
          </w:p>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44 404 276 EUR</w:t>
            </w:r>
          </w:p>
        </w:tc>
        <w:tc>
          <w:tcPr>
            <w:tcW w:w="1261"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5B7DD7" w:rsidRPr="00382C0A" w:rsidRDefault="00AB0B89" w:rsidP="003C7D6B">
            <w:pPr>
              <w:spacing w:after="0"/>
              <w:jc w:val="center"/>
              <w:rPr>
                <w:rFonts w:ascii="Arial" w:eastAsia="Times New Roman" w:hAnsi="Arial" w:cs="Arial"/>
                <w:b/>
                <w:lang w:val="en-GB" w:eastAsia="sk-SK"/>
              </w:rPr>
            </w:pPr>
            <w:r w:rsidRPr="00382C0A">
              <w:rPr>
                <w:rFonts w:ascii="Arial" w:eastAsia="Times New Roman" w:hAnsi="Arial" w:cs="Arial"/>
                <w:b/>
                <w:lang w:val="en-GB" w:eastAsia="sk-SK"/>
              </w:rPr>
              <w:t>+ 59</w:t>
            </w:r>
            <w:r w:rsidR="003C7D6B">
              <w:rPr>
                <w:rFonts w:ascii="Arial" w:eastAsia="Times New Roman" w:hAnsi="Arial" w:cs="Arial"/>
                <w:b/>
                <w:lang w:val="en-GB" w:eastAsia="sk-SK"/>
              </w:rPr>
              <w:t>.</w:t>
            </w:r>
            <w:r w:rsidRPr="00382C0A">
              <w:rPr>
                <w:rFonts w:ascii="Arial" w:eastAsia="Times New Roman" w:hAnsi="Arial" w:cs="Arial"/>
                <w:b/>
                <w:lang w:val="en-GB" w:eastAsia="sk-SK"/>
              </w:rPr>
              <w:t>2%</w:t>
            </w:r>
          </w:p>
        </w:tc>
      </w:tr>
    </w:tbl>
    <w:p w:rsidR="007D28B1" w:rsidRDefault="007D28B1">
      <w:pPr>
        <w:shd w:val="clear" w:color="auto" w:fill="FFFFFF"/>
        <w:spacing w:before="120" w:after="120"/>
        <w:jc w:val="both"/>
        <w:rPr>
          <w:rFonts w:ascii="Arial" w:eastAsia="Times New Roman" w:hAnsi="Arial" w:cs="Arial"/>
          <w:lang w:val="en-GB" w:eastAsia="sk-SK"/>
        </w:rPr>
      </w:pPr>
      <w:r w:rsidRPr="007D28B1">
        <w:rPr>
          <w:rFonts w:ascii="Arial" w:eastAsia="Times New Roman" w:hAnsi="Arial" w:cs="Arial"/>
          <w:lang w:val="en-GB" w:eastAsia="sk-SK"/>
        </w:rPr>
        <w:t>The accident rate was calculated on the basis of the number of accidents for the years 2016 - 2018, where a lower number of fatal accidents as well as a lower number of accidents with both serious and minor injuries were recorded compared to the original CBA analysis assumption. Not only the section itself but also the entire adjacent network of first and second class roads entered the accident analysis.</w:t>
      </w:r>
    </w:p>
    <w:p w:rsidR="007D28B1" w:rsidRDefault="007D28B1">
      <w:pPr>
        <w:shd w:val="clear" w:color="auto" w:fill="FFFFFF"/>
        <w:spacing w:before="120" w:after="120"/>
        <w:jc w:val="both"/>
        <w:rPr>
          <w:rFonts w:ascii="Arial" w:eastAsia="Times New Roman" w:hAnsi="Arial" w:cs="Arial"/>
          <w:lang w:val="en-GB" w:eastAsia="sk-SK"/>
        </w:rPr>
      </w:pPr>
    </w:p>
    <w:p w:rsidR="005B7DD7" w:rsidRPr="00382C0A" w:rsidRDefault="000B7296">
      <w:pPr>
        <w:shd w:val="clear" w:color="auto" w:fill="FFFFFF"/>
        <w:jc w:val="center"/>
        <w:rPr>
          <w:rFonts w:ascii="Arial" w:eastAsia="Times New Roman" w:hAnsi="Arial" w:cs="Arial"/>
          <w:b/>
          <w:bCs/>
          <w:sz w:val="24"/>
          <w:szCs w:val="24"/>
          <w:lang w:val="en-GB" w:eastAsia="sk-SK"/>
        </w:rPr>
      </w:pPr>
      <w:bookmarkStart w:id="6" w:name="_GoBack"/>
      <w:bookmarkEnd w:id="5"/>
      <w:bookmarkEnd w:id="6"/>
      <w:r>
        <w:rPr>
          <w:rFonts w:ascii="Arial" w:eastAsia="Times New Roman" w:hAnsi="Arial" w:cs="Arial"/>
          <w:b/>
          <w:bCs/>
          <w:sz w:val="24"/>
          <w:szCs w:val="24"/>
          <w:lang w:val="en-GB" w:eastAsia="sk-SK"/>
        </w:rPr>
        <w:t>Final evaluation</w:t>
      </w:r>
    </w:p>
    <w:p w:rsidR="00186EBE" w:rsidRPr="00186EBE" w:rsidRDefault="00186EBE" w:rsidP="00186EBE">
      <w:pPr>
        <w:shd w:val="clear" w:color="auto" w:fill="FFFFFF"/>
        <w:spacing w:after="150"/>
        <w:ind w:firstLine="708"/>
        <w:jc w:val="both"/>
        <w:rPr>
          <w:rFonts w:ascii="Arial" w:eastAsia="Times New Roman" w:hAnsi="Arial" w:cs="Arial"/>
          <w:lang w:val="en-GB" w:eastAsia="sk-SK"/>
        </w:rPr>
      </w:pPr>
      <w:r w:rsidRPr="00186EBE">
        <w:rPr>
          <w:rFonts w:ascii="Arial" w:eastAsia="Times New Roman" w:hAnsi="Arial" w:cs="Arial"/>
          <w:lang w:val="en-GB" w:eastAsia="sk-SK"/>
        </w:rPr>
        <w:t xml:space="preserve">The ex-post evaluation of the CBA has </w:t>
      </w:r>
      <w:r>
        <w:rPr>
          <w:rFonts w:ascii="Arial" w:eastAsia="Times New Roman" w:hAnsi="Arial" w:cs="Arial"/>
          <w:lang w:val="en-GB" w:eastAsia="sk-SK"/>
        </w:rPr>
        <w:t>confirmed the</w:t>
      </w:r>
      <w:r w:rsidRPr="00186EBE">
        <w:rPr>
          <w:rFonts w:ascii="Arial" w:eastAsia="Times New Roman" w:hAnsi="Arial" w:cs="Arial"/>
          <w:lang w:val="en-GB" w:eastAsia="sk-SK"/>
        </w:rPr>
        <w:t xml:space="preserve"> </w:t>
      </w:r>
      <w:r>
        <w:rPr>
          <w:rFonts w:ascii="Arial" w:eastAsia="Times New Roman" w:hAnsi="Arial" w:cs="Arial"/>
          <w:lang w:val="en-GB" w:eastAsia="sk-SK"/>
        </w:rPr>
        <w:t>justification of funding the project from EU funds</w:t>
      </w:r>
    </w:p>
    <w:p w:rsidR="00186EBE" w:rsidRPr="00186EBE" w:rsidRDefault="00186EBE" w:rsidP="00186EBE">
      <w:pPr>
        <w:shd w:val="clear" w:color="auto" w:fill="FFFFFF"/>
        <w:spacing w:after="150"/>
        <w:ind w:firstLine="708"/>
        <w:jc w:val="both"/>
        <w:rPr>
          <w:rFonts w:ascii="Arial" w:eastAsia="Times New Roman" w:hAnsi="Arial" w:cs="Arial"/>
          <w:lang w:val="en-GB" w:eastAsia="sk-SK"/>
        </w:rPr>
      </w:pPr>
      <w:r w:rsidRPr="00186EBE">
        <w:rPr>
          <w:rFonts w:ascii="Arial" w:eastAsia="Times New Roman" w:hAnsi="Arial" w:cs="Arial"/>
          <w:lang w:val="en-GB" w:eastAsia="sk-SK"/>
        </w:rPr>
        <w:t xml:space="preserve">The financial analysis confirmed the assumption that the project could not fully cover the expenditures from its revenues, </w:t>
      </w:r>
      <w:r>
        <w:rPr>
          <w:rFonts w:ascii="Arial" w:eastAsia="Times New Roman" w:hAnsi="Arial" w:cs="Arial"/>
          <w:lang w:val="en-GB" w:eastAsia="sk-SK"/>
        </w:rPr>
        <w:t>moreover</w:t>
      </w:r>
      <w:r w:rsidRPr="00186EBE">
        <w:rPr>
          <w:rFonts w:ascii="Arial" w:eastAsia="Times New Roman" w:hAnsi="Arial" w:cs="Arial"/>
          <w:lang w:val="en-GB" w:eastAsia="sk-SK"/>
        </w:rPr>
        <w:t xml:space="preserve"> at present</w:t>
      </w:r>
      <w:r>
        <w:rPr>
          <w:rFonts w:ascii="Arial" w:eastAsia="Times New Roman" w:hAnsi="Arial" w:cs="Arial"/>
          <w:lang w:val="en-GB" w:eastAsia="sk-SK"/>
        </w:rPr>
        <w:t>,</w:t>
      </w:r>
      <w:r w:rsidRPr="00186EBE">
        <w:rPr>
          <w:rFonts w:ascii="Arial" w:eastAsia="Times New Roman" w:hAnsi="Arial" w:cs="Arial"/>
          <w:lang w:val="en-GB" w:eastAsia="sk-SK"/>
        </w:rPr>
        <w:t xml:space="preserve"> the financial contribution from the Cohesion Fund should be higher than originally provided.</w:t>
      </w:r>
    </w:p>
    <w:p w:rsidR="00186EBE" w:rsidRPr="00382C0A" w:rsidRDefault="00186EBE" w:rsidP="00186EBE">
      <w:pPr>
        <w:shd w:val="clear" w:color="auto" w:fill="FFFFFF"/>
        <w:spacing w:after="150"/>
        <w:ind w:firstLine="708"/>
        <w:jc w:val="both"/>
        <w:rPr>
          <w:rFonts w:ascii="Arial" w:eastAsia="Times New Roman" w:hAnsi="Arial" w:cs="Arial"/>
          <w:lang w:val="en-GB" w:eastAsia="sk-SK"/>
        </w:rPr>
      </w:pPr>
      <w:r w:rsidRPr="00186EBE">
        <w:rPr>
          <w:rFonts w:ascii="Arial" w:eastAsia="Times New Roman" w:hAnsi="Arial" w:cs="Arial"/>
          <w:lang w:val="en-GB" w:eastAsia="sk-SK"/>
        </w:rPr>
        <w:t>The economic analysis confirmed the efficiency of spending public funds as the benefits of the project outweigh its costs. The overall benefits for the company have increased even further in the project under consideration by the O</w:t>
      </w:r>
      <w:r w:rsidR="005858E1">
        <w:rPr>
          <w:rFonts w:ascii="Arial" w:eastAsia="Times New Roman" w:hAnsi="Arial" w:cs="Arial"/>
          <w:lang w:val="en-GB" w:eastAsia="sk-SK"/>
        </w:rPr>
        <w:t xml:space="preserve">perational Programme Transport </w:t>
      </w:r>
      <w:r w:rsidR="005858E1" w:rsidRPr="00186EBE">
        <w:rPr>
          <w:rFonts w:ascii="Arial" w:eastAsia="Times New Roman" w:hAnsi="Arial" w:cs="Arial"/>
          <w:lang w:val="en-GB" w:eastAsia="sk-SK"/>
        </w:rPr>
        <w:t>methodology</w:t>
      </w:r>
      <w:r w:rsidRPr="00186EBE">
        <w:rPr>
          <w:rFonts w:ascii="Arial" w:eastAsia="Times New Roman" w:hAnsi="Arial" w:cs="Arial"/>
          <w:lang w:val="en-GB" w:eastAsia="sk-SK"/>
        </w:rPr>
        <w:t>.</w:t>
      </w:r>
    </w:p>
    <w:sectPr w:rsidR="00186EBE" w:rsidRPr="00382C0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2C" w:rsidRDefault="00904C2C">
      <w:pPr>
        <w:spacing w:after="0" w:line="240" w:lineRule="auto"/>
      </w:pPr>
      <w:r>
        <w:separator/>
      </w:r>
    </w:p>
  </w:endnote>
  <w:endnote w:type="continuationSeparator" w:id="0">
    <w:p w:rsidR="00904C2C" w:rsidRDefault="0090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2C" w:rsidRDefault="00904C2C">
      <w:pPr>
        <w:spacing w:after="0" w:line="240" w:lineRule="auto"/>
      </w:pPr>
      <w:r>
        <w:rPr>
          <w:color w:val="000000"/>
        </w:rPr>
        <w:separator/>
      </w:r>
    </w:p>
  </w:footnote>
  <w:footnote w:type="continuationSeparator" w:id="0">
    <w:p w:rsidR="00904C2C" w:rsidRDefault="00904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D7"/>
    <w:rsid w:val="000B7296"/>
    <w:rsid w:val="00107CF6"/>
    <w:rsid w:val="0013575A"/>
    <w:rsid w:val="00186EBE"/>
    <w:rsid w:val="001D6368"/>
    <w:rsid w:val="002849EC"/>
    <w:rsid w:val="002D5F8A"/>
    <w:rsid w:val="002E20C6"/>
    <w:rsid w:val="002F36AA"/>
    <w:rsid w:val="00372F44"/>
    <w:rsid w:val="00382C0A"/>
    <w:rsid w:val="003C7D6B"/>
    <w:rsid w:val="003F7BB5"/>
    <w:rsid w:val="004D036A"/>
    <w:rsid w:val="00554996"/>
    <w:rsid w:val="005858E1"/>
    <w:rsid w:val="005B7DD7"/>
    <w:rsid w:val="00664FBE"/>
    <w:rsid w:val="007D28B1"/>
    <w:rsid w:val="007E3127"/>
    <w:rsid w:val="007E7AC5"/>
    <w:rsid w:val="00852272"/>
    <w:rsid w:val="00904C2C"/>
    <w:rsid w:val="009A2365"/>
    <w:rsid w:val="009C2DB4"/>
    <w:rsid w:val="00A16BAA"/>
    <w:rsid w:val="00AB0B89"/>
    <w:rsid w:val="00BD3632"/>
    <w:rsid w:val="00D14F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E7BC8-A15F-406E-943F-3F112749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customStyle="1" w:styleId="Default">
    <w:name w:val="Default"/>
    <w:rsid w:val="002F36AA"/>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178">
      <w:bodyDiv w:val="1"/>
      <w:marLeft w:val="0"/>
      <w:marRight w:val="0"/>
      <w:marTop w:val="0"/>
      <w:marBottom w:val="0"/>
      <w:divBdr>
        <w:top w:val="none" w:sz="0" w:space="0" w:color="auto"/>
        <w:left w:val="none" w:sz="0" w:space="0" w:color="auto"/>
        <w:bottom w:val="none" w:sz="0" w:space="0" w:color="auto"/>
        <w:right w:val="none" w:sz="0" w:space="0" w:color="auto"/>
      </w:divBdr>
    </w:div>
    <w:div w:id="143279205">
      <w:bodyDiv w:val="1"/>
      <w:marLeft w:val="0"/>
      <w:marRight w:val="0"/>
      <w:marTop w:val="0"/>
      <w:marBottom w:val="0"/>
      <w:divBdr>
        <w:top w:val="none" w:sz="0" w:space="0" w:color="auto"/>
        <w:left w:val="none" w:sz="0" w:space="0" w:color="auto"/>
        <w:bottom w:val="none" w:sz="0" w:space="0" w:color="auto"/>
        <w:right w:val="none" w:sz="0" w:space="0" w:color="auto"/>
      </w:divBdr>
    </w:div>
    <w:div w:id="427694865">
      <w:bodyDiv w:val="1"/>
      <w:marLeft w:val="0"/>
      <w:marRight w:val="0"/>
      <w:marTop w:val="0"/>
      <w:marBottom w:val="0"/>
      <w:divBdr>
        <w:top w:val="none" w:sz="0" w:space="0" w:color="auto"/>
        <w:left w:val="none" w:sz="0" w:space="0" w:color="auto"/>
        <w:bottom w:val="none" w:sz="0" w:space="0" w:color="auto"/>
        <w:right w:val="none" w:sz="0" w:space="0" w:color="auto"/>
      </w:divBdr>
    </w:div>
    <w:div w:id="557673284">
      <w:bodyDiv w:val="1"/>
      <w:marLeft w:val="0"/>
      <w:marRight w:val="0"/>
      <w:marTop w:val="0"/>
      <w:marBottom w:val="0"/>
      <w:divBdr>
        <w:top w:val="none" w:sz="0" w:space="0" w:color="auto"/>
        <w:left w:val="none" w:sz="0" w:space="0" w:color="auto"/>
        <w:bottom w:val="none" w:sz="0" w:space="0" w:color="auto"/>
        <w:right w:val="none" w:sz="0" w:space="0" w:color="auto"/>
      </w:divBdr>
    </w:div>
    <w:div w:id="759104767">
      <w:bodyDiv w:val="1"/>
      <w:marLeft w:val="0"/>
      <w:marRight w:val="0"/>
      <w:marTop w:val="0"/>
      <w:marBottom w:val="0"/>
      <w:divBdr>
        <w:top w:val="none" w:sz="0" w:space="0" w:color="auto"/>
        <w:left w:val="none" w:sz="0" w:space="0" w:color="auto"/>
        <w:bottom w:val="none" w:sz="0" w:space="0" w:color="auto"/>
        <w:right w:val="none" w:sz="0" w:space="0" w:color="auto"/>
      </w:divBdr>
    </w:div>
    <w:div w:id="828986784">
      <w:bodyDiv w:val="1"/>
      <w:marLeft w:val="0"/>
      <w:marRight w:val="0"/>
      <w:marTop w:val="0"/>
      <w:marBottom w:val="0"/>
      <w:divBdr>
        <w:top w:val="none" w:sz="0" w:space="0" w:color="auto"/>
        <w:left w:val="none" w:sz="0" w:space="0" w:color="auto"/>
        <w:bottom w:val="none" w:sz="0" w:space="0" w:color="auto"/>
        <w:right w:val="none" w:sz="0" w:space="0" w:color="auto"/>
      </w:divBdr>
    </w:div>
    <w:div w:id="986860856">
      <w:bodyDiv w:val="1"/>
      <w:marLeft w:val="0"/>
      <w:marRight w:val="0"/>
      <w:marTop w:val="0"/>
      <w:marBottom w:val="0"/>
      <w:divBdr>
        <w:top w:val="none" w:sz="0" w:space="0" w:color="auto"/>
        <w:left w:val="none" w:sz="0" w:space="0" w:color="auto"/>
        <w:bottom w:val="none" w:sz="0" w:space="0" w:color="auto"/>
        <w:right w:val="none" w:sz="0" w:space="0" w:color="auto"/>
      </w:divBdr>
    </w:div>
    <w:div w:id="125936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1145</Words>
  <Characters>6532</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Vajdiak, Peter</dc:creator>
  <cp:lastModifiedBy>Began, Pavol</cp:lastModifiedBy>
  <cp:revision>11</cp:revision>
  <dcterms:created xsi:type="dcterms:W3CDTF">2019-11-20T12:53:00Z</dcterms:created>
  <dcterms:modified xsi:type="dcterms:W3CDTF">2019-11-21T13:12:00Z</dcterms:modified>
</cp:coreProperties>
</file>